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87B5" w14:textId="0610054D" w:rsidR="002F34E4" w:rsidRPr="00485E0D" w:rsidRDefault="00394138" w:rsidP="002F34E4">
      <w:pPr>
        <w:spacing w:after="0" w:line="240" w:lineRule="auto"/>
        <w:jc w:val="center"/>
        <w:rPr>
          <w:rFonts w:ascii="Times New Roman" w:hAnsi="Times New Roman" w:cs="Times New Roman"/>
          <w:b/>
          <w:color w:val="171796"/>
          <w:sz w:val="40"/>
          <w:szCs w:val="40"/>
          <w:lang w:val="hr-HR"/>
        </w:rPr>
      </w:pPr>
      <w:r w:rsidRPr="00485E0D">
        <w:rPr>
          <w:rFonts w:ascii="Times New Roman" w:hAnsi="Times New Roman" w:cs="Times New Roman"/>
          <w:b/>
          <w:color w:val="171796"/>
          <w:sz w:val="40"/>
          <w:szCs w:val="40"/>
          <w:lang w:val="hr-HR"/>
        </w:rPr>
        <w:t>Sveučilište u Zagrebu Pravni fakultet</w:t>
      </w:r>
    </w:p>
    <w:p w14:paraId="5E3AFA54" w14:textId="77777777" w:rsidR="002F34E4" w:rsidRPr="00485E0D" w:rsidRDefault="002F34E4" w:rsidP="002F34E4">
      <w:pPr>
        <w:spacing w:after="0" w:line="240" w:lineRule="auto"/>
        <w:jc w:val="center"/>
        <w:rPr>
          <w:rFonts w:ascii="Times New Roman" w:hAnsi="Times New Roman" w:cs="Times New Roman"/>
          <w:b/>
          <w:color w:val="171796"/>
          <w:sz w:val="40"/>
          <w:szCs w:val="40"/>
          <w:lang w:val="hr-HR"/>
        </w:rPr>
      </w:pPr>
    </w:p>
    <w:p w14:paraId="17A23E9C" w14:textId="5D156978" w:rsidR="002F34E4" w:rsidRPr="00485E0D" w:rsidRDefault="00394138" w:rsidP="002F34E4">
      <w:pPr>
        <w:spacing w:after="0" w:line="240" w:lineRule="auto"/>
        <w:jc w:val="center"/>
        <w:rPr>
          <w:rFonts w:ascii="Times New Roman" w:hAnsi="Times New Roman" w:cs="Times New Roman"/>
          <w:b/>
          <w:color w:val="171796"/>
          <w:sz w:val="40"/>
          <w:szCs w:val="40"/>
          <w:lang w:val="hr-HR"/>
        </w:rPr>
      </w:pPr>
      <w:r w:rsidRPr="00485E0D">
        <w:rPr>
          <w:rFonts w:ascii="Times New Roman" w:hAnsi="Times New Roman" w:cs="Times New Roman"/>
          <w:b/>
          <w:color w:val="171796"/>
          <w:sz w:val="40"/>
          <w:szCs w:val="40"/>
          <w:lang w:val="hr-HR"/>
        </w:rPr>
        <w:t>Poziv za financiranje institucionalnih istraživačkih projekata</w:t>
      </w:r>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TableGrid"/>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FootnoteReferenc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FootnoteReferenc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FootnoteReferenc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FootnoteReferenc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TableGrid"/>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485E0D" w14:paraId="7D614F07" w14:textId="77777777" w:rsidTr="00330A37">
        <w:tc>
          <w:tcPr>
            <w:tcW w:w="2902" w:type="pct"/>
            <w:gridSpan w:val="2"/>
          </w:tcPr>
          <w:p w14:paraId="47AEBC38" w14:textId="6458C37E"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5EDCCD13" w14:textId="77777777" w:rsidTr="00330A37">
        <w:tc>
          <w:tcPr>
            <w:tcW w:w="2902" w:type="pct"/>
            <w:gridSpan w:val="2"/>
          </w:tcPr>
          <w:p w14:paraId="1921C3B8"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485E0D" w14:paraId="7D68B221" w14:textId="77777777" w:rsidTr="00330A37">
        <w:tc>
          <w:tcPr>
            <w:tcW w:w="2902" w:type="pct"/>
            <w:gridSpan w:val="2"/>
          </w:tcPr>
          <w:p w14:paraId="5970BA15" w14:textId="7A4AB59A"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61B43B11" w14:textId="77777777" w:rsidTr="00330A37">
        <w:tc>
          <w:tcPr>
            <w:tcW w:w="2902" w:type="pct"/>
            <w:gridSpan w:val="2"/>
          </w:tcPr>
          <w:p w14:paraId="3486AA81" w14:textId="439209FF"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1B89A10D" w14:textId="77777777" w:rsidTr="00330A37">
        <w:tc>
          <w:tcPr>
            <w:tcW w:w="2902" w:type="pct"/>
            <w:gridSpan w:val="2"/>
          </w:tcPr>
          <w:p w14:paraId="5A4AD996"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485E0D"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485E0D"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w:t>
            </w:r>
            <w:proofErr w:type="spellStart"/>
            <w:r w:rsidR="00814CAD" w:rsidRPr="00387019">
              <w:rPr>
                <w:rFonts w:ascii="Times New Roman" w:hAnsi="Times New Roman" w:cs="Times New Roman"/>
                <w:sz w:val="24"/>
                <w:szCs w:val="24"/>
                <w:lang w:val="hr-HR"/>
              </w:rPr>
              <w:t>nZEB</w:t>
            </w:r>
            <w:proofErr w:type="spellEnd"/>
            <w:r w:rsidR="00814CAD" w:rsidRPr="00387019">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394138" w:rsidRDefault="00814CAD" w:rsidP="00814CAD">
      <w:pPr>
        <w:jc w:val="both"/>
        <w:rPr>
          <w:rFonts w:ascii="Times New Roman" w:hAnsi="Times New Roman" w:cs="Times New Roman"/>
          <w:sz w:val="24"/>
          <w:szCs w:val="24"/>
          <w:lang w:val="de-AT"/>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sidRPr="00394138">
        <w:rPr>
          <w:rFonts w:ascii="Times New Roman" w:hAnsi="Times New Roman" w:cs="Times New Roman"/>
          <w:sz w:val="24"/>
          <w:szCs w:val="24"/>
          <w:lang w:val="hr-HR"/>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E04EF4">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E04EF4" w:rsidP="00330A3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TableGrid"/>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85E0D"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85E0D"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394138">
        <w:rPr>
          <w:lang w:val="hr-HR"/>
        </w:rPr>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TableGrid"/>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FootnoteReferenc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TableGrid"/>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TableGrid"/>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Pr="00394138" w:rsidRDefault="00814CAD" w:rsidP="00814CAD">
      <w:pPr>
        <w:spacing w:before="100" w:beforeAutospacing="1" w:after="100" w:afterAutospacing="1"/>
        <w:jc w:val="both"/>
        <w:rPr>
          <w:lang w:val="hr-HR"/>
        </w:rPr>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TableGrid"/>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7E1E" w14:textId="77777777" w:rsidR="00E04EF4" w:rsidRDefault="00E04EF4" w:rsidP="00D7744E">
      <w:pPr>
        <w:spacing w:after="0" w:line="240" w:lineRule="auto"/>
      </w:pPr>
      <w:r>
        <w:separator/>
      </w:r>
    </w:p>
  </w:endnote>
  <w:endnote w:type="continuationSeparator" w:id="0">
    <w:p w14:paraId="5EFC3B03" w14:textId="77777777" w:rsidR="00E04EF4" w:rsidRDefault="00E04EF4"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70D933C2" w:rsidR="00D7744E" w:rsidRPr="00014F15" w:rsidRDefault="00564A41" w:rsidP="00330A37">
            <w:pPr>
              <w:pStyle w:val="Footer"/>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394138">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394138">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4B5D" w14:textId="77777777" w:rsidR="00E04EF4" w:rsidRDefault="00E04EF4" w:rsidP="00D7744E">
      <w:pPr>
        <w:spacing w:after="0" w:line="240" w:lineRule="auto"/>
      </w:pPr>
      <w:r>
        <w:separator/>
      </w:r>
    </w:p>
  </w:footnote>
  <w:footnote w:type="continuationSeparator" w:id="0">
    <w:p w14:paraId="23128C50" w14:textId="77777777" w:rsidR="00E04EF4" w:rsidRDefault="00E04EF4" w:rsidP="00D7744E">
      <w:pPr>
        <w:spacing w:after="0" w:line="240" w:lineRule="auto"/>
      </w:pPr>
      <w:r>
        <w:continuationSeparator/>
      </w:r>
    </w:p>
  </w:footnote>
  <w:footnote w:id="1">
    <w:p w14:paraId="7DEF2107"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FootnoteText"/>
        <w:jc w:val="both"/>
        <w:rPr>
          <w:rFonts w:ascii="Times New Roman" w:hAnsi="Times New Roman" w:cs="Times New Roman"/>
          <w:lang w:val="hr-HR"/>
        </w:rPr>
      </w:pPr>
      <w:r w:rsidRPr="00330A37">
        <w:rPr>
          <w:rStyle w:val="FootnoteReferenc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F2C1" w14:textId="282395FD" w:rsidR="00C94B19" w:rsidRPr="00C94B19" w:rsidRDefault="00485E0D" w:rsidP="00C94B19">
    <w:pPr>
      <w:tabs>
        <w:tab w:val="center" w:pos="4536"/>
        <w:tab w:val="right" w:pos="9072"/>
      </w:tabs>
      <w:spacing w:after="0" w:line="240" w:lineRule="auto"/>
      <w:rPr>
        <w:rFonts w:ascii="Calibri" w:eastAsia="Calibri" w:hAnsi="Calibri" w:cs="Times New Roman"/>
        <w:sz w:val="20"/>
        <w:szCs w:val="20"/>
        <w:lang w:val="hr-HR" w:eastAsia="hr-HR"/>
      </w:rPr>
    </w:pPr>
    <w:r>
      <w:rPr>
        <w:noProof/>
      </w:rPr>
      <w:drawing>
        <wp:anchor distT="0" distB="0" distL="114300" distR="114300" simplePos="0" relativeHeight="251659264" behindDoc="1" locked="0" layoutInCell="1" allowOverlap="1" wp14:anchorId="6107540A" wp14:editId="3A7F75D7">
          <wp:simplePos x="0" y="0"/>
          <wp:positionH relativeFrom="column">
            <wp:posOffset>3705225</wp:posOffset>
          </wp:positionH>
          <wp:positionV relativeFrom="paragraph">
            <wp:posOffset>-635</wp:posOffset>
          </wp:positionV>
          <wp:extent cx="2493645" cy="588010"/>
          <wp:effectExtent l="0" t="0" r="190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58801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68CDDEE4" wp14:editId="39A003E8">
          <wp:simplePos x="0" y="0"/>
          <wp:positionH relativeFrom="column">
            <wp:posOffset>3038475</wp:posOffset>
          </wp:positionH>
          <wp:positionV relativeFrom="paragraph">
            <wp:posOffset>-635</wp:posOffset>
          </wp:positionV>
          <wp:extent cx="627380" cy="626745"/>
          <wp:effectExtent l="0" t="0" r="127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627380" cy="626745"/>
                  </a:xfrm>
                  <a:prstGeom prst="rect">
                    <a:avLst/>
                  </a:prstGeom>
                  <a:noFill/>
                  <a:ln>
                    <a:noFill/>
                  </a:ln>
                </pic:spPr>
              </pic:pic>
            </a:graphicData>
          </a:graphic>
        </wp:anchor>
      </w:drawing>
    </w:r>
    <w:r w:rsidR="00C94B19" w:rsidRPr="00C94B19">
      <w:rPr>
        <w:rFonts w:ascii="Calibri" w:eastAsia="Calibri" w:hAnsi="Calibri" w:cs="Times New Roman"/>
        <w:noProof/>
        <w:sz w:val="20"/>
        <w:szCs w:val="20"/>
        <w:lang w:val="en-US"/>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00C94B19" w:rsidRPr="00C94B19">
      <w:rPr>
        <w:rFonts w:ascii="Calibri" w:eastAsia="Calibri" w:hAnsi="Calibri" w:cs="Times New Roman"/>
        <w:sz w:val="20"/>
        <w:szCs w:val="20"/>
        <w:lang w:val="hr-HR" w:eastAsia="hr-HR"/>
      </w:rPr>
      <w:t xml:space="preserve">                             </w:t>
    </w:r>
  </w:p>
  <w:p w14:paraId="40029D87" w14:textId="47D3F0CC" w:rsidR="00C94B19" w:rsidRDefault="00C9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D4A21"/>
    <w:rsid w:val="000E1444"/>
    <w:rsid w:val="000F0B4A"/>
    <w:rsid w:val="00106FFC"/>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94138"/>
    <w:rsid w:val="003B19DF"/>
    <w:rsid w:val="003D0113"/>
    <w:rsid w:val="00436984"/>
    <w:rsid w:val="0043727D"/>
    <w:rsid w:val="00483707"/>
    <w:rsid w:val="00485E0D"/>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DF2A96"/>
    <w:rsid w:val="00E04144"/>
    <w:rsid w:val="00E04EF4"/>
    <w:rsid w:val="00E41A49"/>
    <w:rsid w:val="00E57297"/>
    <w:rsid w:val="00E76905"/>
    <w:rsid w:val="00ED718F"/>
    <w:rsid w:val="00EF7758"/>
    <w:rsid w:val="00EF7F4F"/>
    <w:rsid w:val="00F006B2"/>
    <w:rsid w:val="00F32730"/>
    <w:rsid w:val="00F35F4D"/>
    <w:rsid w:val="00F4628C"/>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54B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2B54B8"/>
  </w:style>
  <w:style w:type="table" w:styleId="TableGrid">
    <w:name w:val="Table Grid"/>
    <w:basedOn w:val="TableNormal"/>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4046"/>
    <w:rPr>
      <w:rFonts w:ascii="Trebuchet MS" w:hAnsi="Trebuchet MS"/>
      <w:color w:val="0000FF"/>
      <w:u w:val="single"/>
    </w:rPr>
  </w:style>
  <w:style w:type="paragraph" w:styleId="Header">
    <w:name w:val="header"/>
    <w:basedOn w:val="Normal"/>
    <w:link w:val="HeaderChar"/>
    <w:uiPriority w:val="99"/>
    <w:unhideWhenUsed/>
    <w:rsid w:val="00D77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44E"/>
  </w:style>
  <w:style w:type="paragraph" w:styleId="Footer">
    <w:name w:val="footer"/>
    <w:basedOn w:val="Normal"/>
    <w:link w:val="FooterChar"/>
    <w:uiPriority w:val="99"/>
    <w:unhideWhenUsed/>
    <w:rsid w:val="00D77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44E"/>
  </w:style>
  <w:style w:type="paragraph" w:styleId="Revision">
    <w:name w:val="Revision"/>
    <w:hidden/>
    <w:uiPriority w:val="99"/>
    <w:semiHidden/>
    <w:rsid w:val="00626F62"/>
    <w:pPr>
      <w:spacing w:after="0" w:line="240" w:lineRule="auto"/>
    </w:pPr>
  </w:style>
  <w:style w:type="paragraph" w:styleId="FootnoteText">
    <w:name w:val="footnote text"/>
    <w:basedOn w:val="Normal"/>
    <w:link w:val="FootnoteTextChar"/>
    <w:uiPriority w:val="99"/>
    <w:semiHidden/>
    <w:unhideWhenUsed/>
    <w:rsid w:val="00626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62"/>
    <w:rPr>
      <w:sz w:val="20"/>
      <w:szCs w:val="20"/>
    </w:rPr>
  </w:style>
  <w:style w:type="character" w:styleId="FootnoteReference">
    <w:name w:val="footnote reference"/>
    <w:basedOn w:val="DefaultParagraphFont"/>
    <w:uiPriority w:val="99"/>
    <w:semiHidden/>
    <w:unhideWhenUsed/>
    <w:rsid w:val="00626F62"/>
    <w:rPr>
      <w:vertAlign w:val="superscript"/>
    </w:rPr>
  </w:style>
  <w:style w:type="character" w:styleId="CommentReference">
    <w:name w:val="annotation reference"/>
    <w:basedOn w:val="DefaultParagraphFont"/>
    <w:uiPriority w:val="99"/>
    <w:semiHidden/>
    <w:unhideWhenUsed/>
    <w:rsid w:val="000D4A21"/>
    <w:rPr>
      <w:sz w:val="16"/>
      <w:szCs w:val="16"/>
    </w:rPr>
  </w:style>
  <w:style w:type="paragraph" w:styleId="CommentText">
    <w:name w:val="annotation text"/>
    <w:basedOn w:val="Normal"/>
    <w:link w:val="CommentTextChar"/>
    <w:uiPriority w:val="99"/>
    <w:unhideWhenUsed/>
    <w:rsid w:val="000D4A21"/>
    <w:pPr>
      <w:spacing w:line="240" w:lineRule="auto"/>
    </w:pPr>
    <w:rPr>
      <w:sz w:val="20"/>
      <w:szCs w:val="20"/>
    </w:rPr>
  </w:style>
  <w:style w:type="character" w:customStyle="1" w:styleId="CommentTextChar">
    <w:name w:val="Comment Text Char"/>
    <w:basedOn w:val="DefaultParagraphFont"/>
    <w:link w:val="CommentText"/>
    <w:uiPriority w:val="99"/>
    <w:rsid w:val="000D4A21"/>
    <w:rPr>
      <w:sz w:val="20"/>
      <w:szCs w:val="20"/>
    </w:rPr>
  </w:style>
  <w:style w:type="paragraph" w:styleId="CommentSubject">
    <w:name w:val="annotation subject"/>
    <w:basedOn w:val="CommentText"/>
    <w:next w:val="CommentText"/>
    <w:link w:val="CommentSubjectChar"/>
    <w:uiPriority w:val="99"/>
    <w:semiHidden/>
    <w:unhideWhenUsed/>
    <w:rsid w:val="000D4A21"/>
    <w:rPr>
      <w:b/>
      <w:bCs/>
    </w:rPr>
  </w:style>
  <w:style w:type="character" w:customStyle="1" w:styleId="CommentSubjectChar">
    <w:name w:val="Comment Subject Char"/>
    <w:basedOn w:val="CommentTextChar"/>
    <w:link w:val="CommentSubject"/>
    <w:uiPriority w:val="99"/>
    <w:semiHidden/>
    <w:rsid w:val="000D4A21"/>
    <w:rPr>
      <w:b/>
      <w:bCs/>
      <w:sz w:val="20"/>
      <w:szCs w:val="20"/>
    </w:rPr>
  </w:style>
  <w:style w:type="paragraph" w:styleId="BalloonText">
    <w:name w:val="Balloon Text"/>
    <w:basedOn w:val="Normal"/>
    <w:link w:val="BalloonTextChar"/>
    <w:uiPriority w:val="99"/>
    <w:semiHidden/>
    <w:unhideWhenUsed/>
    <w:rsid w:val="00014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Katarina Prpić</cp:lastModifiedBy>
  <cp:revision>3</cp:revision>
  <dcterms:created xsi:type="dcterms:W3CDTF">2025-05-06T11:31:00Z</dcterms:created>
  <dcterms:modified xsi:type="dcterms:W3CDTF">2025-05-09T08:21:00Z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