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C8231" w14:textId="77777777" w:rsidR="00CC7380" w:rsidRPr="00A06CC6" w:rsidRDefault="00CC7380" w:rsidP="00E8022F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proofErr w:type="spellStart"/>
      <w:r w:rsidRPr="00A06CC6">
        <w:rPr>
          <w:rFonts w:cstheme="minorHAnsi"/>
          <w:bCs/>
          <w:sz w:val="20"/>
          <w:szCs w:val="20"/>
        </w:rPr>
        <w:t>Autorski</w:t>
      </w:r>
      <w:proofErr w:type="spellEnd"/>
      <w:r w:rsidRPr="00A06CC6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bCs/>
          <w:sz w:val="20"/>
          <w:szCs w:val="20"/>
        </w:rPr>
        <w:t>pročišćeni</w:t>
      </w:r>
      <w:proofErr w:type="spellEnd"/>
      <w:r w:rsidRPr="00A06CC6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bCs/>
          <w:sz w:val="20"/>
          <w:szCs w:val="20"/>
        </w:rPr>
        <w:t>tekst</w:t>
      </w:r>
      <w:proofErr w:type="spellEnd"/>
      <w:r w:rsidRPr="00A06CC6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bCs/>
          <w:sz w:val="20"/>
          <w:szCs w:val="20"/>
        </w:rPr>
        <w:t>obuhvaća</w:t>
      </w:r>
      <w:proofErr w:type="spellEnd"/>
      <w:r w:rsidRPr="00A06CC6">
        <w:rPr>
          <w:rFonts w:cstheme="minorHAnsi"/>
          <w:bCs/>
          <w:sz w:val="20"/>
          <w:szCs w:val="20"/>
        </w:rPr>
        <w:t xml:space="preserve">: </w:t>
      </w:r>
    </w:p>
    <w:p w14:paraId="3A1BFD5C" w14:textId="044EDE8D" w:rsidR="00F14698" w:rsidRPr="00A06CC6" w:rsidRDefault="00F14698" w:rsidP="00E8022F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06CC6">
        <w:rPr>
          <w:rFonts w:cstheme="minorHAnsi"/>
          <w:bCs/>
          <w:sz w:val="20"/>
          <w:szCs w:val="20"/>
        </w:rPr>
        <w:t xml:space="preserve">NN 115/2018 </w:t>
      </w:r>
      <w:r w:rsidR="009D1536" w:rsidRPr="00A06CC6">
        <w:rPr>
          <w:rFonts w:cstheme="minorHAnsi"/>
          <w:bCs/>
          <w:sz w:val="20"/>
          <w:szCs w:val="20"/>
        </w:rPr>
        <w:t xml:space="preserve">od </w:t>
      </w:r>
      <w:r w:rsidR="009D1536" w:rsidRPr="00A06CC6">
        <w:rPr>
          <w:rFonts w:cstheme="minorHAnsi"/>
          <w:bCs/>
          <w:sz w:val="20"/>
          <w:szCs w:val="20"/>
        </w:rPr>
        <w:t>20.12.2018.</w:t>
      </w:r>
      <w:r w:rsidR="009D1536" w:rsidRPr="00A06CC6">
        <w:rPr>
          <w:rFonts w:cstheme="minorHAnsi"/>
          <w:bCs/>
          <w:sz w:val="20"/>
          <w:szCs w:val="20"/>
        </w:rPr>
        <w:t xml:space="preserve"> </w:t>
      </w:r>
      <w:r w:rsidRPr="00A06CC6">
        <w:rPr>
          <w:rFonts w:cstheme="minorHAnsi"/>
          <w:bCs/>
          <w:sz w:val="20"/>
          <w:szCs w:val="20"/>
        </w:rPr>
        <w:t xml:space="preserve">– </w:t>
      </w:r>
      <w:proofErr w:type="spellStart"/>
      <w:r w:rsidRPr="00A06CC6">
        <w:rPr>
          <w:rFonts w:cstheme="minorHAnsi"/>
          <w:bCs/>
          <w:sz w:val="20"/>
          <w:szCs w:val="20"/>
        </w:rPr>
        <w:t>osnovni</w:t>
      </w:r>
      <w:proofErr w:type="spellEnd"/>
      <w:r w:rsidRPr="00A06CC6">
        <w:rPr>
          <w:rFonts w:cstheme="minorHAnsi"/>
          <w:bCs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bCs/>
          <w:sz w:val="20"/>
          <w:szCs w:val="20"/>
        </w:rPr>
        <w:t>tekst</w:t>
      </w:r>
      <w:proofErr w:type="spellEnd"/>
    </w:p>
    <w:p w14:paraId="00E989DF" w14:textId="0D8AF24E" w:rsidR="00F14698" w:rsidRPr="00A06CC6" w:rsidRDefault="00F14698" w:rsidP="00E8022F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A06CC6">
        <w:rPr>
          <w:rFonts w:cstheme="minorHAnsi"/>
          <w:bCs/>
          <w:sz w:val="20"/>
          <w:szCs w:val="20"/>
        </w:rPr>
        <w:t xml:space="preserve">NN 34/2021 od 2.4.2021. – </w:t>
      </w:r>
      <w:proofErr w:type="spellStart"/>
      <w:r w:rsidRPr="00A06CC6">
        <w:rPr>
          <w:rFonts w:cstheme="minorHAnsi"/>
          <w:bCs/>
          <w:sz w:val="20"/>
          <w:szCs w:val="20"/>
        </w:rPr>
        <w:t>dopuna</w:t>
      </w:r>
      <w:proofErr w:type="spellEnd"/>
      <w:r w:rsidRPr="00A06CC6">
        <w:rPr>
          <w:rFonts w:cstheme="minorHAnsi"/>
          <w:bCs/>
          <w:sz w:val="20"/>
          <w:szCs w:val="20"/>
        </w:rPr>
        <w:t xml:space="preserve"> </w:t>
      </w:r>
    </w:p>
    <w:p w14:paraId="40B5921C" w14:textId="77777777" w:rsidR="00CC7380" w:rsidRPr="00A06CC6" w:rsidRDefault="00CC7380" w:rsidP="00E8022F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5D756260" w14:textId="394254A2" w:rsidR="008845AB" w:rsidRPr="00A06CC6" w:rsidRDefault="008845AB" w:rsidP="00E8022F">
      <w:pPr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 w:rsidRPr="00A06CC6">
        <w:rPr>
          <w:rFonts w:cstheme="minorHAnsi"/>
          <w:b/>
          <w:bCs/>
          <w:sz w:val="20"/>
          <w:szCs w:val="20"/>
        </w:rPr>
        <w:t>ZAKON</w:t>
      </w:r>
    </w:p>
    <w:p w14:paraId="7B4BF608" w14:textId="74D296D8" w:rsidR="008845AB" w:rsidRPr="00A06CC6" w:rsidRDefault="008845AB" w:rsidP="00E8022F">
      <w:pPr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 w:rsidRPr="00A06CC6">
        <w:rPr>
          <w:rFonts w:cstheme="minorHAnsi"/>
          <w:b/>
          <w:bCs/>
          <w:sz w:val="20"/>
          <w:szCs w:val="20"/>
        </w:rPr>
        <w:t>O STAŽU OSIGURANJA S POVEĆANIM TRAJANJEM</w:t>
      </w:r>
    </w:p>
    <w:p w14:paraId="517FC3A3" w14:textId="2883AE4F" w:rsidR="00F14698" w:rsidRPr="00A06CC6" w:rsidRDefault="00F14698" w:rsidP="00A06CC6">
      <w:pPr>
        <w:spacing w:after="0" w:line="240" w:lineRule="auto"/>
        <w:jc w:val="center"/>
        <w:rPr>
          <w:rFonts w:cstheme="minorHAnsi"/>
          <w:i/>
          <w:iCs/>
          <w:sz w:val="20"/>
          <w:szCs w:val="20"/>
        </w:rPr>
      </w:pPr>
      <w:r w:rsidRPr="00A06CC6">
        <w:rPr>
          <w:rFonts w:cstheme="minorHAnsi"/>
          <w:i/>
          <w:iCs/>
          <w:sz w:val="20"/>
          <w:szCs w:val="20"/>
        </w:rPr>
        <w:t>(</w:t>
      </w:r>
      <w:proofErr w:type="spellStart"/>
      <w:r w:rsidRPr="00A06CC6">
        <w:rPr>
          <w:rFonts w:cstheme="minorHAnsi"/>
          <w:i/>
          <w:iCs/>
          <w:sz w:val="20"/>
          <w:szCs w:val="20"/>
        </w:rPr>
        <w:t>autorski</w:t>
      </w:r>
      <w:proofErr w:type="spellEnd"/>
      <w:r w:rsidRPr="00A06CC6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i/>
          <w:iCs/>
          <w:sz w:val="20"/>
          <w:szCs w:val="20"/>
        </w:rPr>
        <w:t>pročišćeni</w:t>
      </w:r>
      <w:proofErr w:type="spellEnd"/>
      <w:r w:rsidRPr="00A06CC6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i/>
          <w:iCs/>
          <w:sz w:val="20"/>
          <w:szCs w:val="20"/>
        </w:rPr>
        <w:t>tekst</w:t>
      </w:r>
      <w:proofErr w:type="spellEnd"/>
      <w:r w:rsidRPr="00A06CC6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i/>
          <w:iCs/>
          <w:sz w:val="20"/>
          <w:szCs w:val="20"/>
        </w:rPr>
        <w:t>priredila</w:t>
      </w:r>
      <w:proofErr w:type="spellEnd"/>
      <w:r w:rsidRPr="00A06CC6">
        <w:rPr>
          <w:rFonts w:cstheme="minorHAnsi"/>
          <w:i/>
          <w:iCs/>
          <w:sz w:val="20"/>
          <w:szCs w:val="20"/>
        </w:rPr>
        <w:t>:</w:t>
      </w:r>
    </w:p>
    <w:p w14:paraId="4DF1DD7F" w14:textId="2D811763" w:rsidR="00F14698" w:rsidRPr="00A06CC6" w:rsidRDefault="00F14698" w:rsidP="00A06CC6">
      <w:pPr>
        <w:spacing w:after="0" w:line="240" w:lineRule="auto"/>
        <w:jc w:val="center"/>
        <w:rPr>
          <w:rFonts w:cstheme="minorHAnsi"/>
          <w:i/>
          <w:iCs/>
          <w:sz w:val="20"/>
          <w:szCs w:val="20"/>
          <w:lang w:val="it-IT"/>
        </w:rPr>
      </w:pPr>
      <w:proofErr w:type="spellStart"/>
      <w:r w:rsidRPr="00A06CC6">
        <w:rPr>
          <w:rFonts w:cstheme="minorHAnsi"/>
          <w:i/>
          <w:iCs/>
          <w:sz w:val="20"/>
          <w:szCs w:val="20"/>
          <w:lang w:val="it-IT"/>
        </w:rPr>
        <w:t>izv</w:t>
      </w:r>
      <w:proofErr w:type="spellEnd"/>
      <w:r w:rsidRPr="00A06CC6">
        <w:rPr>
          <w:rFonts w:cstheme="minorHAnsi"/>
          <w:i/>
          <w:iCs/>
          <w:sz w:val="20"/>
          <w:szCs w:val="20"/>
          <w:lang w:val="it-IT"/>
        </w:rPr>
        <w:t>. prof. dr. sc. Ivana Vukorepa)</w:t>
      </w:r>
    </w:p>
    <w:p w14:paraId="230CE2A3" w14:textId="77777777" w:rsidR="00F14698" w:rsidRPr="00A06CC6" w:rsidRDefault="00F14698" w:rsidP="00E8022F">
      <w:pPr>
        <w:spacing w:line="240" w:lineRule="auto"/>
        <w:jc w:val="both"/>
        <w:rPr>
          <w:rFonts w:cstheme="minorHAnsi"/>
          <w:b/>
          <w:sz w:val="20"/>
          <w:szCs w:val="20"/>
          <w:lang w:val="it-IT"/>
        </w:rPr>
      </w:pPr>
    </w:p>
    <w:p w14:paraId="766723DA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</w:rPr>
      </w:pPr>
      <w:r w:rsidRPr="00A06CC6">
        <w:rPr>
          <w:rFonts w:cstheme="minorHAnsi"/>
          <w:sz w:val="20"/>
          <w:szCs w:val="20"/>
        </w:rPr>
        <w:t>I. OPĆE ODREDBE</w:t>
      </w:r>
    </w:p>
    <w:p w14:paraId="6DD759EE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A06CC6">
        <w:rPr>
          <w:rFonts w:cstheme="minorHAnsi"/>
          <w:sz w:val="20"/>
          <w:szCs w:val="20"/>
        </w:rPr>
        <w:t>Članak</w:t>
      </w:r>
      <w:proofErr w:type="spellEnd"/>
      <w:r w:rsidRPr="00A06CC6">
        <w:rPr>
          <w:rFonts w:cstheme="minorHAnsi"/>
          <w:sz w:val="20"/>
          <w:szCs w:val="20"/>
        </w:rPr>
        <w:t xml:space="preserve"> 1.</w:t>
      </w:r>
    </w:p>
    <w:p w14:paraId="79A1E37D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A06CC6">
        <w:rPr>
          <w:rFonts w:cstheme="minorHAnsi"/>
          <w:sz w:val="20"/>
          <w:szCs w:val="20"/>
        </w:rPr>
        <w:t>Osobe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koje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ostvaruju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prava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iz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obveznoga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mirovinskog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osiguranja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na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temelju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generacijske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solidarnosti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prema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odredbama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općeg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propisa</w:t>
      </w:r>
      <w:proofErr w:type="spellEnd"/>
      <w:r w:rsidRPr="00A06CC6">
        <w:rPr>
          <w:rFonts w:cstheme="minorHAnsi"/>
          <w:sz w:val="20"/>
          <w:szCs w:val="20"/>
        </w:rPr>
        <w:t xml:space="preserve"> o </w:t>
      </w:r>
      <w:proofErr w:type="spellStart"/>
      <w:r w:rsidRPr="00A06CC6">
        <w:rPr>
          <w:rFonts w:cstheme="minorHAnsi"/>
          <w:sz w:val="20"/>
          <w:szCs w:val="20"/>
        </w:rPr>
        <w:t>mirovinskom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osiguranju</w:t>
      </w:r>
      <w:proofErr w:type="spellEnd"/>
      <w:r w:rsidRPr="00A06CC6">
        <w:rPr>
          <w:rFonts w:cstheme="minorHAnsi"/>
          <w:sz w:val="20"/>
          <w:szCs w:val="20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</w:rPr>
        <w:t>prema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odredbama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ovoga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Zakona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su</w:t>
      </w:r>
      <w:proofErr w:type="spellEnd"/>
      <w:r w:rsidRPr="00A06CC6">
        <w:rPr>
          <w:rFonts w:cstheme="minorHAnsi"/>
          <w:sz w:val="20"/>
          <w:szCs w:val="20"/>
        </w:rPr>
        <w:t>:</w:t>
      </w:r>
    </w:p>
    <w:p w14:paraId="52A11F21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</w:rPr>
      </w:pPr>
      <w:r w:rsidRPr="00A06CC6">
        <w:rPr>
          <w:rFonts w:cstheme="minorHAnsi"/>
          <w:sz w:val="20"/>
          <w:szCs w:val="20"/>
        </w:rPr>
        <w:t xml:space="preserve">1. </w:t>
      </w:r>
      <w:proofErr w:type="spellStart"/>
      <w:r w:rsidRPr="00A06CC6">
        <w:rPr>
          <w:rFonts w:cstheme="minorHAnsi"/>
          <w:sz w:val="20"/>
          <w:szCs w:val="20"/>
        </w:rPr>
        <w:t>osiguranici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zaposleni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na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osobito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teškim</w:t>
      </w:r>
      <w:proofErr w:type="spellEnd"/>
      <w:r w:rsidRPr="00A06CC6">
        <w:rPr>
          <w:rFonts w:cstheme="minorHAnsi"/>
          <w:sz w:val="20"/>
          <w:szCs w:val="20"/>
        </w:rPr>
        <w:t xml:space="preserve"> i za </w:t>
      </w:r>
      <w:proofErr w:type="spellStart"/>
      <w:r w:rsidRPr="00A06CC6">
        <w:rPr>
          <w:rFonts w:cstheme="minorHAnsi"/>
          <w:sz w:val="20"/>
          <w:szCs w:val="20"/>
        </w:rPr>
        <w:t>zdravlje</w:t>
      </w:r>
      <w:proofErr w:type="spellEnd"/>
      <w:r w:rsidRPr="00A06CC6">
        <w:rPr>
          <w:rFonts w:cstheme="minorHAnsi"/>
          <w:sz w:val="20"/>
          <w:szCs w:val="20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</w:rPr>
        <w:t>radnu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sposobnost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štetnim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radnim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mjestima</w:t>
      </w:r>
      <w:proofErr w:type="spellEnd"/>
    </w:p>
    <w:p w14:paraId="0A342469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</w:rPr>
      </w:pPr>
      <w:r w:rsidRPr="00A06CC6">
        <w:rPr>
          <w:rFonts w:cstheme="minorHAnsi"/>
          <w:sz w:val="20"/>
          <w:szCs w:val="20"/>
        </w:rPr>
        <w:t xml:space="preserve">2. </w:t>
      </w:r>
      <w:proofErr w:type="spellStart"/>
      <w:r w:rsidRPr="00A06CC6">
        <w:rPr>
          <w:rFonts w:cstheme="minorHAnsi"/>
          <w:sz w:val="20"/>
          <w:szCs w:val="20"/>
        </w:rPr>
        <w:t>osiguranici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kojima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nakon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određenih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godina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života</w:t>
      </w:r>
      <w:proofErr w:type="spellEnd"/>
      <w:r w:rsidRPr="00A06CC6">
        <w:rPr>
          <w:rFonts w:cstheme="minorHAnsi"/>
          <w:sz w:val="20"/>
          <w:szCs w:val="20"/>
        </w:rPr>
        <w:t xml:space="preserve">, </w:t>
      </w:r>
      <w:proofErr w:type="spellStart"/>
      <w:r w:rsidRPr="00A06CC6">
        <w:rPr>
          <w:rFonts w:cstheme="minorHAnsi"/>
          <w:sz w:val="20"/>
          <w:szCs w:val="20"/>
        </w:rPr>
        <w:t>zbog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naravi</w:t>
      </w:r>
      <w:proofErr w:type="spellEnd"/>
      <w:r w:rsidRPr="00A06CC6">
        <w:rPr>
          <w:rFonts w:cstheme="minorHAnsi"/>
          <w:sz w:val="20"/>
          <w:szCs w:val="20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</w:rPr>
        <w:t>težine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posla</w:t>
      </w:r>
      <w:proofErr w:type="spellEnd"/>
      <w:r w:rsidRPr="00A06CC6">
        <w:rPr>
          <w:rFonts w:cstheme="minorHAnsi"/>
          <w:sz w:val="20"/>
          <w:szCs w:val="20"/>
        </w:rPr>
        <w:t xml:space="preserve">, </w:t>
      </w:r>
      <w:proofErr w:type="spellStart"/>
      <w:r w:rsidRPr="00A06CC6">
        <w:rPr>
          <w:rFonts w:cstheme="minorHAnsi"/>
          <w:sz w:val="20"/>
          <w:szCs w:val="20"/>
        </w:rPr>
        <w:t>fiziološke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funkcije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organizma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opadaju</w:t>
      </w:r>
      <w:proofErr w:type="spellEnd"/>
      <w:r w:rsidRPr="00A06CC6">
        <w:rPr>
          <w:rFonts w:cstheme="minorHAnsi"/>
          <w:sz w:val="20"/>
          <w:szCs w:val="20"/>
        </w:rPr>
        <w:t xml:space="preserve"> u </w:t>
      </w:r>
      <w:proofErr w:type="spellStart"/>
      <w:r w:rsidRPr="00A06CC6">
        <w:rPr>
          <w:rFonts w:cstheme="minorHAnsi"/>
          <w:sz w:val="20"/>
          <w:szCs w:val="20"/>
        </w:rPr>
        <w:t>toj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mjeri</w:t>
      </w:r>
      <w:proofErr w:type="spellEnd"/>
      <w:r w:rsidRPr="00A06CC6">
        <w:rPr>
          <w:rFonts w:cstheme="minorHAnsi"/>
          <w:sz w:val="20"/>
          <w:szCs w:val="20"/>
        </w:rPr>
        <w:t xml:space="preserve"> da </w:t>
      </w:r>
      <w:proofErr w:type="spellStart"/>
      <w:r w:rsidRPr="00A06CC6">
        <w:rPr>
          <w:rFonts w:cstheme="minorHAnsi"/>
          <w:sz w:val="20"/>
          <w:szCs w:val="20"/>
        </w:rPr>
        <w:t>onemogućavaju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daljnje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uspješno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obavljanje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tog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posla</w:t>
      </w:r>
      <w:proofErr w:type="spellEnd"/>
    </w:p>
    <w:p w14:paraId="0D658772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</w:rPr>
      </w:pPr>
      <w:r w:rsidRPr="00A06CC6">
        <w:rPr>
          <w:rFonts w:cstheme="minorHAnsi"/>
          <w:sz w:val="20"/>
          <w:szCs w:val="20"/>
        </w:rPr>
        <w:t xml:space="preserve">3. </w:t>
      </w:r>
      <w:proofErr w:type="spellStart"/>
      <w:r w:rsidRPr="00A06CC6">
        <w:rPr>
          <w:rFonts w:cstheme="minorHAnsi"/>
          <w:sz w:val="20"/>
          <w:szCs w:val="20"/>
        </w:rPr>
        <w:t>osiguranici</w:t>
      </w:r>
      <w:proofErr w:type="spellEnd"/>
      <w:r w:rsidRPr="00A06CC6">
        <w:rPr>
          <w:rFonts w:cstheme="minorHAnsi"/>
          <w:sz w:val="20"/>
          <w:szCs w:val="20"/>
        </w:rPr>
        <w:t xml:space="preserve"> – </w:t>
      </w:r>
      <w:proofErr w:type="spellStart"/>
      <w:r w:rsidRPr="00A06CC6">
        <w:rPr>
          <w:rFonts w:cstheme="minorHAnsi"/>
          <w:sz w:val="20"/>
          <w:szCs w:val="20"/>
        </w:rPr>
        <w:t>osobe</w:t>
      </w:r>
      <w:proofErr w:type="spellEnd"/>
      <w:r w:rsidRPr="00A06CC6">
        <w:rPr>
          <w:rFonts w:cstheme="minorHAnsi"/>
          <w:sz w:val="20"/>
          <w:szCs w:val="20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</w:rPr>
        <w:t>invaliditetom</w:t>
      </w:r>
      <w:proofErr w:type="spellEnd"/>
      <w:r w:rsidRPr="00A06CC6">
        <w:rPr>
          <w:rFonts w:cstheme="minorHAnsi"/>
          <w:sz w:val="20"/>
          <w:szCs w:val="20"/>
        </w:rPr>
        <w:t xml:space="preserve">: </w:t>
      </w:r>
      <w:proofErr w:type="spellStart"/>
      <w:r w:rsidRPr="00A06CC6">
        <w:rPr>
          <w:rFonts w:cstheme="minorHAnsi"/>
          <w:sz w:val="20"/>
          <w:szCs w:val="20"/>
        </w:rPr>
        <w:t>osobe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oboljele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od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distrofije</w:t>
      </w:r>
      <w:proofErr w:type="spellEnd"/>
      <w:r w:rsidRPr="00A06CC6">
        <w:rPr>
          <w:rFonts w:cstheme="minorHAnsi"/>
          <w:sz w:val="20"/>
          <w:szCs w:val="20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</w:rPr>
        <w:t>srodnih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mišićnih</w:t>
      </w:r>
      <w:proofErr w:type="spellEnd"/>
      <w:r w:rsidRPr="00A06CC6">
        <w:rPr>
          <w:rFonts w:cstheme="minorHAnsi"/>
          <w:sz w:val="20"/>
          <w:szCs w:val="20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</w:rPr>
        <w:t>neuromišićnih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bolesti</w:t>
      </w:r>
      <w:proofErr w:type="spellEnd"/>
      <w:r w:rsidRPr="00A06CC6">
        <w:rPr>
          <w:rFonts w:cstheme="minorHAnsi"/>
          <w:sz w:val="20"/>
          <w:szCs w:val="20"/>
        </w:rPr>
        <w:t xml:space="preserve">, </w:t>
      </w:r>
      <w:proofErr w:type="spellStart"/>
      <w:r w:rsidRPr="00A06CC6">
        <w:rPr>
          <w:rFonts w:cstheme="minorHAnsi"/>
          <w:sz w:val="20"/>
          <w:szCs w:val="20"/>
        </w:rPr>
        <w:t>oboljeli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od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paraplegije</w:t>
      </w:r>
      <w:proofErr w:type="spellEnd"/>
      <w:r w:rsidRPr="00A06CC6">
        <w:rPr>
          <w:rFonts w:cstheme="minorHAnsi"/>
          <w:sz w:val="20"/>
          <w:szCs w:val="20"/>
        </w:rPr>
        <w:t xml:space="preserve">, </w:t>
      </w:r>
      <w:proofErr w:type="spellStart"/>
      <w:r w:rsidRPr="00A06CC6">
        <w:rPr>
          <w:rFonts w:cstheme="minorHAnsi"/>
          <w:sz w:val="20"/>
          <w:szCs w:val="20"/>
        </w:rPr>
        <w:t>cerebralne</w:t>
      </w:r>
      <w:proofErr w:type="spellEnd"/>
      <w:r w:rsidRPr="00A06CC6">
        <w:rPr>
          <w:rFonts w:cstheme="minorHAnsi"/>
          <w:sz w:val="20"/>
          <w:szCs w:val="20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</w:rPr>
        <w:t>dječje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paralize</w:t>
      </w:r>
      <w:proofErr w:type="spellEnd"/>
      <w:r w:rsidRPr="00A06CC6">
        <w:rPr>
          <w:rFonts w:cstheme="minorHAnsi"/>
          <w:sz w:val="20"/>
          <w:szCs w:val="20"/>
        </w:rPr>
        <w:t xml:space="preserve">, multiple </w:t>
      </w:r>
      <w:proofErr w:type="spellStart"/>
      <w:r w:rsidRPr="00A06CC6">
        <w:rPr>
          <w:rFonts w:cstheme="minorHAnsi"/>
          <w:sz w:val="20"/>
          <w:szCs w:val="20"/>
        </w:rPr>
        <w:t>skleroze</w:t>
      </w:r>
      <w:proofErr w:type="spellEnd"/>
      <w:r w:rsidRPr="00A06CC6">
        <w:rPr>
          <w:rFonts w:cstheme="minorHAnsi"/>
          <w:sz w:val="20"/>
          <w:szCs w:val="20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</w:rPr>
        <w:t>srodnih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bolesti</w:t>
      </w:r>
      <w:proofErr w:type="spellEnd"/>
      <w:r w:rsidRPr="00A06CC6">
        <w:rPr>
          <w:rFonts w:cstheme="minorHAnsi"/>
          <w:sz w:val="20"/>
          <w:szCs w:val="20"/>
        </w:rPr>
        <w:t xml:space="preserve">, </w:t>
      </w:r>
      <w:proofErr w:type="spellStart"/>
      <w:r w:rsidRPr="00A06CC6">
        <w:rPr>
          <w:rFonts w:cstheme="minorHAnsi"/>
          <w:sz w:val="20"/>
          <w:szCs w:val="20"/>
        </w:rPr>
        <w:t>slijepe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osobe</w:t>
      </w:r>
      <w:proofErr w:type="spellEnd"/>
      <w:r w:rsidRPr="00A06CC6">
        <w:rPr>
          <w:rFonts w:cstheme="minorHAnsi"/>
          <w:sz w:val="20"/>
          <w:szCs w:val="20"/>
        </w:rPr>
        <w:t xml:space="preserve">, </w:t>
      </w:r>
      <w:proofErr w:type="spellStart"/>
      <w:r w:rsidRPr="00A06CC6">
        <w:rPr>
          <w:rFonts w:cstheme="minorHAnsi"/>
          <w:sz w:val="20"/>
          <w:szCs w:val="20"/>
        </w:rPr>
        <w:t>gluhe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osobe</w:t>
      </w:r>
      <w:proofErr w:type="spellEnd"/>
      <w:r w:rsidRPr="00A06CC6">
        <w:rPr>
          <w:rFonts w:cstheme="minorHAnsi"/>
          <w:sz w:val="20"/>
          <w:szCs w:val="20"/>
        </w:rPr>
        <w:t xml:space="preserve">, </w:t>
      </w:r>
      <w:proofErr w:type="spellStart"/>
      <w:r w:rsidRPr="00A06CC6">
        <w:rPr>
          <w:rFonts w:cstheme="minorHAnsi"/>
          <w:sz w:val="20"/>
          <w:szCs w:val="20"/>
        </w:rPr>
        <w:t>gluhoslijepe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osobe</w:t>
      </w:r>
      <w:proofErr w:type="spellEnd"/>
      <w:r w:rsidRPr="00A06CC6">
        <w:rPr>
          <w:rFonts w:cstheme="minorHAnsi"/>
          <w:sz w:val="20"/>
          <w:szCs w:val="20"/>
        </w:rPr>
        <w:t xml:space="preserve">, </w:t>
      </w:r>
      <w:proofErr w:type="spellStart"/>
      <w:r w:rsidRPr="00A06CC6">
        <w:rPr>
          <w:rFonts w:cstheme="minorHAnsi"/>
          <w:sz w:val="20"/>
          <w:szCs w:val="20"/>
        </w:rPr>
        <w:t>osobe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oboljele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od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reumatoidnog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artritisa</w:t>
      </w:r>
      <w:proofErr w:type="spellEnd"/>
      <w:r w:rsidRPr="00A06CC6">
        <w:rPr>
          <w:rFonts w:cstheme="minorHAnsi"/>
          <w:sz w:val="20"/>
          <w:szCs w:val="20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</w:rPr>
        <w:t>drugih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sustavnih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upalnih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bolesti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zglobova</w:t>
      </w:r>
      <w:proofErr w:type="spellEnd"/>
      <w:r w:rsidRPr="00A06CC6">
        <w:rPr>
          <w:rFonts w:cstheme="minorHAnsi"/>
          <w:sz w:val="20"/>
          <w:szCs w:val="20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</w:rPr>
        <w:t>vezivnog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tkiva</w:t>
      </w:r>
      <w:proofErr w:type="spellEnd"/>
      <w:r w:rsidRPr="00A06CC6">
        <w:rPr>
          <w:rFonts w:cstheme="minorHAnsi"/>
          <w:sz w:val="20"/>
          <w:szCs w:val="20"/>
        </w:rPr>
        <w:t xml:space="preserve"> (</w:t>
      </w:r>
      <w:proofErr w:type="spellStart"/>
      <w:r w:rsidRPr="00A06CC6">
        <w:rPr>
          <w:rFonts w:cstheme="minorHAnsi"/>
          <w:sz w:val="20"/>
          <w:szCs w:val="20"/>
        </w:rPr>
        <w:t>ankilozantni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spondilitis</w:t>
      </w:r>
      <w:proofErr w:type="spellEnd"/>
      <w:r w:rsidRPr="00A06CC6">
        <w:rPr>
          <w:rFonts w:cstheme="minorHAnsi"/>
          <w:sz w:val="20"/>
          <w:szCs w:val="20"/>
        </w:rPr>
        <w:t xml:space="preserve">, </w:t>
      </w:r>
      <w:proofErr w:type="spellStart"/>
      <w:r w:rsidRPr="00A06CC6">
        <w:rPr>
          <w:rFonts w:cstheme="minorHAnsi"/>
          <w:sz w:val="20"/>
          <w:szCs w:val="20"/>
        </w:rPr>
        <w:t>psorijatični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artritis</w:t>
      </w:r>
      <w:proofErr w:type="spellEnd"/>
      <w:r w:rsidRPr="00A06CC6">
        <w:rPr>
          <w:rFonts w:cstheme="minorHAnsi"/>
          <w:sz w:val="20"/>
          <w:szCs w:val="20"/>
        </w:rPr>
        <w:t xml:space="preserve">, </w:t>
      </w:r>
      <w:proofErr w:type="spellStart"/>
      <w:r w:rsidRPr="00A06CC6">
        <w:rPr>
          <w:rFonts w:cstheme="minorHAnsi"/>
          <w:sz w:val="20"/>
          <w:szCs w:val="20"/>
        </w:rPr>
        <w:t>seronegativni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artritis</w:t>
      </w:r>
      <w:proofErr w:type="spellEnd"/>
      <w:r w:rsidRPr="00A06CC6">
        <w:rPr>
          <w:rFonts w:cstheme="minorHAnsi"/>
          <w:sz w:val="20"/>
          <w:szCs w:val="20"/>
        </w:rPr>
        <w:t xml:space="preserve">, </w:t>
      </w:r>
      <w:proofErr w:type="spellStart"/>
      <w:r w:rsidRPr="00A06CC6">
        <w:rPr>
          <w:rFonts w:cstheme="minorHAnsi"/>
          <w:sz w:val="20"/>
          <w:szCs w:val="20"/>
        </w:rPr>
        <w:t>sistemski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eritemski</w:t>
      </w:r>
      <w:proofErr w:type="spellEnd"/>
      <w:r w:rsidRPr="00A06CC6">
        <w:rPr>
          <w:rFonts w:cstheme="minorHAnsi"/>
          <w:sz w:val="20"/>
          <w:szCs w:val="20"/>
        </w:rPr>
        <w:t xml:space="preserve"> lupus, </w:t>
      </w:r>
      <w:proofErr w:type="spellStart"/>
      <w:r w:rsidRPr="00A06CC6">
        <w:rPr>
          <w:rFonts w:cstheme="minorHAnsi"/>
          <w:sz w:val="20"/>
          <w:szCs w:val="20"/>
        </w:rPr>
        <w:t>sklerodermija</w:t>
      </w:r>
      <w:proofErr w:type="spellEnd"/>
      <w:r w:rsidRPr="00A06CC6">
        <w:rPr>
          <w:rFonts w:cstheme="minorHAnsi"/>
          <w:sz w:val="20"/>
          <w:szCs w:val="20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</w:rPr>
        <w:t>polimiozitis</w:t>
      </w:r>
      <w:proofErr w:type="spellEnd"/>
      <w:r w:rsidRPr="00A06CC6">
        <w:rPr>
          <w:rFonts w:cstheme="minorHAnsi"/>
          <w:sz w:val="20"/>
          <w:szCs w:val="20"/>
        </w:rPr>
        <w:t>/</w:t>
      </w:r>
      <w:proofErr w:type="spellStart"/>
      <w:r w:rsidRPr="00A06CC6">
        <w:rPr>
          <w:rFonts w:cstheme="minorHAnsi"/>
          <w:sz w:val="20"/>
          <w:szCs w:val="20"/>
        </w:rPr>
        <w:t>dermatomiozitis</w:t>
      </w:r>
      <w:proofErr w:type="spellEnd"/>
      <w:r w:rsidRPr="00A06CC6">
        <w:rPr>
          <w:rFonts w:cstheme="minorHAnsi"/>
          <w:sz w:val="20"/>
          <w:szCs w:val="20"/>
        </w:rPr>
        <w:t xml:space="preserve">), </w:t>
      </w:r>
      <w:proofErr w:type="spellStart"/>
      <w:r w:rsidRPr="00A06CC6">
        <w:rPr>
          <w:rFonts w:cstheme="minorHAnsi"/>
          <w:sz w:val="20"/>
          <w:szCs w:val="20"/>
        </w:rPr>
        <w:t>osobe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kod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kojih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postoje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funkcionalni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poremećaji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zbog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kojih</w:t>
      </w:r>
      <w:proofErr w:type="spellEnd"/>
      <w:r w:rsidRPr="00A06CC6">
        <w:rPr>
          <w:rFonts w:cstheme="minorHAnsi"/>
          <w:sz w:val="20"/>
          <w:szCs w:val="20"/>
        </w:rPr>
        <w:t xml:space="preserve"> se ne </w:t>
      </w:r>
      <w:proofErr w:type="spellStart"/>
      <w:r w:rsidRPr="00A06CC6">
        <w:rPr>
          <w:rFonts w:cstheme="minorHAnsi"/>
          <w:sz w:val="20"/>
          <w:szCs w:val="20"/>
        </w:rPr>
        <w:t>mogu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samostalno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kretati</w:t>
      </w:r>
      <w:proofErr w:type="spellEnd"/>
      <w:r w:rsidRPr="00A06CC6">
        <w:rPr>
          <w:rFonts w:cstheme="minorHAnsi"/>
          <w:sz w:val="20"/>
          <w:szCs w:val="20"/>
        </w:rPr>
        <w:t xml:space="preserve"> bez </w:t>
      </w:r>
      <w:proofErr w:type="spellStart"/>
      <w:r w:rsidRPr="00A06CC6">
        <w:rPr>
          <w:rFonts w:cstheme="minorHAnsi"/>
          <w:sz w:val="20"/>
          <w:szCs w:val="20"/>
        </w:rPr>
        <w:t>uporabe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invalidskih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kolica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te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osobe</w:t>
      </w:r>
      <w:proofErr w:type="spellEnd"/>
      <w:r w:rsidRPr="00A06CC6">
        <w:rPr>
          <w:rFonts w:cstheme="minorHAnsi"/>
          <w:sz w:val="20"/>
          <w:szCs w:val="20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</w:rPr>
        <w:t>Downovim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sindromom</w:t>
      </w:r>
      <w:proofErr w:type="spellEnd"/>
      <w:r w:rsidRPr="00A06CC6">
        <w:rPr>
          <w:rFonts w:cstheme="minorHAnsi"/>
          <w:sz w:val="20"/>
          <w:szCs w:val="20"/>
        </w:rPr>
        <w:t>.</w:t>
      </w:r>
    </w:p>
    <w:p w14:paraId="0B09D5D7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A06CC6">
        <w:rPr>
          <w:rFonts w:cstheme="minorHAnsi"/>
          <w:sz w:val="20"/>
          <w:szCs w:val="20"/>
        </w:rPr>
        <w:t>Članak</w:t>
      </w:r>
      <w:proofErr w:type="spellEnd"/>
      <w:r w:rsidRPr="00A06CC6">
        <w:rPr>
          <w:rFonts w:cstheme="minorHAnsi"/>
          <w:sz w:val="20"/>
          <w:szCs w:val="20"/>
        </w:rPr>
        <w:t xml:space="preserve"> 2.</w:t>
      </w:r>
    </w:p>
    <w:p w14:paraId="135D6024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A06CC6">
        <w:rPr>
          <w:rFonts w:cstheme="minorHAnsi"/>
          <w:sz w:val="20"/>
          <w:szCs w:val="20"/>
        </w:rPr>
        <w:t>Ovim</w:t>
      </w:r>
      <w:proofErr w:type="spellEnd"/>
      <w:r w:rsidRPr="00A06CC6">
        <w:rPr>
          <w:rFonts w:cstheme="minorHAnsi"/>
          <w:sz w:val="20"/>
          <w:szCs w:val="20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</w:rPr>
        <w:t>Zakonom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uređuje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sljedeće</w:t>
      </w:r>
      <w:proofErr w:type="spellEnd"/>
      <w:r w:rsidRPr="00A06CC6">
        <w:rPr>
          <w:rFonts w:cstheme="minorHAnsi"/>
          <w:sz w:val="20"/>
          <w:szCs w:val="20"/>
        </w:rPr>
        <w:t>:</w:t>
      </w:r>
    </w:p>
    <w:p w14:paraId="003E000D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</w:rPr>
      </w:pPr>
      <w:r w:rsidRPr="00A06CC6">
        <w:rPr>
          <w:rFonts w:cstheme="minorHAnsi"/>
          <w:sz w:val="20"/>
          <w:szCs w:val="20"/>
        </w:rPr>
        <w:t xml:space="preserve">1. radna </w:t>
      </w:r>
      <w:proofErr w:type="spellStart"/>
      <w:r w:rsidRPr="00A06CC6">
        <w:rPr>
          <w:rFonts w:cstheme="minorHAnsi"/>
          <w:sz w:val="20"/>
          <w:szCs w:val="20"/>
        </w:rPr>
        <w:t>mjesta</w:t>
      </w:r>
      <w:proofErr w:type="spellEnd"/>
      <w:r w:rsidRPr="00A06CC6">
        <w:rPr>
          <w:rFonts w:cstheme="minorHAnsi"/>
          <w:sz w:val="20"/>
          <w:szCs w:val="20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</w:rPr>
        <w:t>zanimanja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na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kojima</w:t>
      </w:r>
      <w:proofErr w:type="spellEnd"/>
      <w:r w:rsidRPr="00A06CC6">
        <w:rPr>
          <w:rFonts w:cstheme="minorHAnsi"/>
          <w:sz w:val="20"/>
          <w:szCs w:val="20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</w:rPr>
        <w:t>staž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osiguranja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računa</w:t>
      </w:r>
      <w:proofErr w:type="spellEnd"/>
      <w:r w:rsidRPr="00A06CC6">
        <w:rPr>
          <w:rFonts w:cstheme="minorHAnsi"/>
          <w:sz w:val="20"/>
          <w:szCs w:val="20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</w:rPr>
        <w:t>povećanim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trajanjem</w:t>
      </w:r>
      <w:proofErr w:type="spellEnd"/>
    </w:p>
    <w:p w14:paraId="6594A453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</w:rPr>
      </w:pPr>
      <w:r w:rsidRPr="00A06CC6">
        <w:rPr>
          <w:rFonts w:cstheme="minorHAnsi"/>
          <w:sz w:val="20"/>
          <w:szCs w:val="20"/>
        </w:rPr>
        <w:t xml:space="preserve">2. </w:t>
      </w:r>
      <w:proofErr w:type="spellStart"/>
      <w:r w:rsidRPr="00A06CC6">
        <w:rPr>
          <w:rFonts w:cstheme="minorHAnsi"/>
          <w:sz w:val="20"/>
          <w:szCs w:val="20"/>
        </w:rPr>
        <w:t>staž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osiguranja</w:t>
      </w:r>
      <w:proofErr w:type="spellEnd"/>
      <w:r w:rsidRPr="00A06CC6">
        <w:rPr>
          <w:rFonts w:cstheme="minorHAnsi"/>
          <w:sz w:val="20"/>
          <w:szCs w:val="20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</w:rPr>
        <w:t>povećanim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trajanjem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osiguranika</w:t>
      </w:r>
      <w:proofErr w:type="spellEnd"/>
      <w:r w:rsidRPr="00A06CC6">
        <w:rPr>
          <w:rFonts w:cstheme="minorHAnsi"/>
          <w:sz w:val="20"/>
          <w:szCs w:val="20"/>
        </w:rPr>
        <w:t xml:space="preserve"> – </w:t>
      </w:r>
      <w:proofErr w:type="spellStart"/>
      <w:r w:rsidRPr="00A06CC6">
        <w:rPr>
          <w:rFonts w:cstheme="minorHAnsi"/>
          <w:sz w:val="20"/>
          <w:szCs w:val="20"/>
        </w:rPr>
        <w:t>osoba</w:t>
      </w:r>
      <w:proofErr w:type="spellEnd"/>
      <w:r w:rsidRPr="00A06CC6">
        <w:rPr>
          <w:rFonts w:cstheme="minorHAnsi"/>
          <w:sz w:val="20"/>
          <w:szCs w:val="20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</w:rPr>
        <w:t>invaliditetom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iz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članka</w:t>
      </w:r>
      <w:proofErr w:type="spellEnd"/>
      <w:r w:rsidRPr="00A06CC6">
        <w:rPr>
          <w:rFonts w:cstheme="minorHAnsi"/>
          <w:sz w:val="20"/>
          <w:szCs w:val="20"/>
        </w:rPr>
        <w:t xml:space="preserve"> 1. </w:t>
      </w:r>
      <w:proofErr w:type="spellStart"/>
      <w:r w:rsidRPr="00A06CC6">
        <w:rPr>
          <w:rFonts w:cstheme="minorHAnsi"/>
          <w:sz w:val="20"/>
          <w:szCs w:val="20"/>
        </w:rPr>
        <w:t>točke</w:t>
      </w:r>
      <w:proofErr w:type="spellEnd"/>
      <w:r w:rsidRPr="00A06CC6">
        <w:rPr>
          <w:rFonts w:cstheme="minorHAnsi"/>
          <w:sz w:val="20"/>
          <w:szCs w:val="20"/>
        </w:rPr>
        <w:t xml:space="preserve"> 3. </w:t>
      </w:r>
      <w:proofErr w:type="spellStart"/>
      <w:r w:rsidRPr="00A06CC6">
        <w:rPr>
          <w:rFonts w:cstheme="minorHAnsi"/>
          <w:sz w:val="20"/>
          <w:szCs w:val="20"/>
        </w:rPr>
        <w:t>ovoga</w:t>
      </w:r>
      <w:proofErr w:type="spellEnd"/>
      <w:r w:rsidRPr="00A06CC6">
        <w:rPr>
          <w:rFonts w:cstheme="minorHAnsi"/>
          <w:sz w:val="20"/>
          <w:szCs w:val="20"/>
        </w:rPr>
        <w:t xml:space="preserve"> </w:t>
      </w:r>
      <w:proofErr w:type="spellStart"/>
      <w:r w:rsidRPr="00A06CC6">
        <w:rPr>
          <w:rFonts w:cstheme="minorHAnsi"/>
          <w:sz w:val="20"/>
          <w:szCs w:val="20"/>
        </w:rPr>
        <w:t>Zakona</w:t>
      </w:r>
      <w:proofErr w:type="spellEnd"/>
    </w:p>
    <w:p w14:paraId="1270E770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3.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snižavanje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dobne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granice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stjecanje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prava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starosnu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mirovinu</w:t>
      </w:r>
      <w:proofErr w:type="spellEnd"/>
    </w:p>
    <w:p w14:paraId="106B690A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4.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postupak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vođenje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evidencija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o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zanimanjima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odnosno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osiguranicima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kojima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povećanim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trajanjem</w:t>
      </w:r>
      <w:proofErr w:type="spellEnd"/>
    </w:p>
    <w:p w14:paraId="03A964B3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5.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nadzor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financiranje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prekršajne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odredbe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1488E61F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proofErr w:type="spellStart"/>
      <w:r w:rsidRPr="00A06CC6">
        <w:rPr>
          <w:rFonts w:cstheme="minorHAnsi"/>
          <w:sz w:val="20"/>
          <w:szCs w:val="20"/>
          <w:lang w:val="it-IT"/>
        </w:rPr>
        <w:t>Članak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3.</w:t>
      </w:r>
    </w:p>
    <w:p w14:paraId="62F0E47D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(1)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Osiguranicima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Zakona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povećanim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trajanjem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snižava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dobna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granica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stjecanje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prava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starosnu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mirovinu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način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pod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uvjetima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propisanim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Zakonom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4E7A7636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(2)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Osiguranicima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Zakona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povećanim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trajanjem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ako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zaposleni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punim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vremenom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ili sa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skraćenim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vremenom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prema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općem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propisu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kojim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uređuju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odnosi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kolektivnom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ugovoru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smatra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zaposlenje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punim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vremenom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4B15D78C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(3)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Iznimno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gramStart"/>
      <w:r w:rsidRPr="00A06CC6">
        <w:rPr>
          <w:rFonts w:cstheme="minorHAnsi"/>
          <w:sz w:val="20"/>
          <w:szCs w:val="20"/>
          <w:lang w:val="it-IT"/>
        </w:rPr>
        <w:t>od</w:t>
      </w:r>
      <w:proofErr w:type="gram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stavka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2.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osiguraniku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–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osobi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invaliditetom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točke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3.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Zakona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povećanim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trajanjem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osnovi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zaposlenja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nepunim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vremenom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1FFAFF36" w14:textId="70AC6FEA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(4)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slučaju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stavka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3.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povećanim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trajanjem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tako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da </w:t>
      </w:r>
      <w:proofErr w:type="gramStart"/>
      <w:r w:rsidRPr="00A06CC6">
        <w:rPr>
          <w:rFonts w:cstheme="minorHAnsi"/>
          <w:sz w:val="20"/>
          <w:szCs w:val="20"/>
          <w:lang w:val="it-IT"/>
        </w:rPr>
        <w:t>se</w:t>
      </w:r>
      <w:proofErr w:type="gram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nepunim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vremenom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preračuna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puno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vrijeme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povećanim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trajanjem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utvrdi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prema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ostvarenom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svedenom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puno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vrijeme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224E4AD0" w14:textId="7E1C6706" w:rsidR="00E8022F" w:rsidRPr="00A06CC6" w:rsidRDefault="00E8022F" w:rsidP="00E8022F">
      <w:pPr>
        <w:spacing w:line="240" w:lineRule="auto"/>
        <w:jc w:val="both"/>
        <w:rPr>
          <w:rFonts w:cstheme="minorHAnsi"/>
          <w:b/>
          <w:bCs/>
          <w:sz w:val="20"/>
          <w:szCs w:val="20"/>
          <w:lang w:val="it-IT"/>
        </w:rPr>
      </w:pPr>
      <w:r w:rsidRPr="00A06CC6">
        <w:rPr>
          <w:rFonts w:cstheme="minorHAnsi"/>
          <w:b/>
          <w:bCs/>
          <w:sz w:val="20"/>
          <w:szCs w:val="20"/>
          <w:lang w:val="it-IT"/>
        </w:rPr>
        <w:t xml:space="preserve">(5) Prava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stavka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1.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imaju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osiguranici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–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osobe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invaliditetom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1.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točke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3.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Zakona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obvezno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osigurane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mirovinsko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osiguranje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temelju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9.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stavka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1.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točke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3. i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stavka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3.,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14. i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28.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stavka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1.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točaka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1. i 2.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Zakona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o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mirovinskom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osiguranju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(»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Narodne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proofErr w:type="gramStart"/>
      <w:r w:rsidRPr="00A06CC6">
        <w:rPr>
          <w:rFonts w:cstheme="minorHAnsi"/>
          <w:b/>
          <w:bCs/>
          <w:sz w:val="20"/>
          <w:szCs w:val="20"/>
          <w:lang w:val="it-IT"/>
        </w:rPr>
        <w:t>novine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>«</w:t>
      </w:r>
      <w:proofErr w:type="gram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br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. 157/13., 151/14., 33/15., 93/15., 120/16., 18/18. –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Odluka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Ustavnog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suda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Republike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Hrvatske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>, 62/18., 115/18. i 102/19.).</w:t>
      </w:r>
    </w:p>
    <w:p w14:paraId="22A95FD8" w14:textId="56CEB550" w:rsidR="00E8022F" w:rsidRPr="00A06CC6" w:rsidRDefault="00E8022F" w:rsidP="00E8022F">
      <w:pPr>
        <w:spacing w:line="240" w:lineRule="auto"/>
        <w:jc w:val="both"/>
        <w:rPr>
          <w:rFonts w:cstheme="minorHAnsi"/>
          <w:b/>
          <w:bCs/>
          <w:sz w:val="20"/>
          <w:szCs w:val="20"/>
          <w:lang w:val="it-IT"/>
        </w:rPr>
      </w:pPr>
    </w:p>
    <w:p w14:paraId="5D662CBF" w14:textId="06006705" w:rsidR="00E8022F" w:rsidRPr="00A06CC6" w:rsidRDefault="00E8022F" w:rsidP="00E8022F">
      <w:pPr>
        <w:spacing w:line="240" w:lineRule="auto"/>
        <w:jc w:val="both"/>
        <w:rPr>
          <w:rFonts w:cstheme="minorHAnsi"/>
          <w:b/>
          <w:bCs/>
          <w:sz w:val="20"/>
          <w:szCs w:val="20"/>
          <w:lang w:val="it-IT"/>
        </w:rPr>
      </w:pP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Članak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3.a</w:t>
      </w:r>
    </w:p>
    <w:p w14:paraId="530EA1B7" w14:textId="34FABBB1" w:rsidR="00E8022F" w:rsidRPr="00A06CC6" w:rsidRDefault="00E8022F" w:rsidP="00E8022F">
      <w:pPr>
        <w:spacing w:line="240" w:lineRule="auto"/>
        <w:jc w:val="both"/>
        <w:rPr>
          <w:rFonts w:cstheme="minorHAnsi"/>
          <w:b/>
          <w:bCs/>
          <w:sz w:val="20"/>
          <w:szCs w:val="20"/>
          <w:lang w:val="it-IT"/>
        </w:rPr>
      </w:pP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Osiguranicima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–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osobama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invaliditetom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1.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točke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3.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Zakona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obvezno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osiguranim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mirovinsko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osiguranje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temelju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članaka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10. do 13. i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15.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Zakona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o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mirovinskom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osiguranju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(»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Narodne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proofErr w:type="gramStart"/>
      <w:r w:rsidRPr="00A06CC6">
        <w:rPr>
          <w:rFonts w:cstheme="minorHAnsi"/>
          <w:b/>
          <w:bCs/>
          <w:sz w:val="20"/>
          <w:szCs w:val="20"/>
          <w:lang w:val="it-IT"/>
        </w:rPr>
        <w:t>novine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>«</w:t>
      </w:r>
      <w:proofErr w:type="gram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br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. 157/13., 151/14., 33/15., 93/15., 120/16., 18/18. –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Odluka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Ustavnog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suda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Republike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Hrvatske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, 62/18., 115/18. i 102/19.)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staž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povećanim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trajanjem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lastRenderedPageBreak/>
        <w:t>temelju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plaćenih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doprinosa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za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mirovinsko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osiguranje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>.</w:t>
      </w:r>
    </w:p>
    <w:p w14:paraId="11FF45DA" w14:textId="092779CA" w:rsidR="00E8022F" w:rsidRPr="00A06CC6" w:rsidRDefault="00E8022F" w:rsidP="00E8022F">
      <w:pPr>
        <w:spacing w:line="240" w:lineRule="auto"/>
        <w:jc w:val="both"/>
        <w:rPr>
          <w:rFonts w:cstheme="minorHAnsi"/>
          <w:b/>
          <w:bCs/>
          <w:sz w:val="20"/>
          <w:szCs w:val="20"/>
          <w:lang w:val="it-IT"/>
        </w:rPr>
      </w:pPr>
    </w:p>
    <w:p w14:paraId="7B1D7CED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>II. RADNA MJESTA, ZANIMANJA I OSIGURANICI KOJIMA SE STAŽ OSIGURANJA RAČUNA S POVEĆANIM TRAJANJEM</w:t>
      </w:r>
    </w:p>
    <w:p w14:paraId="354E86C9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>POGLAVLJE I.</w:t>
      </w:r>
      <w:r w:rsidRPr="00A06CC6">
        <w:rPr>
          <w:rFonts w:cstheme="minorHAnsi"/>
          <w:sz w:val="20"/>
          <w:szCs w:val="20"/>
          <w:lang w:val="it-IT"/>
        </w:rPr>
        <w:br/>
        <w:t>RADNA MJESTA NA KOJIMA SE STAŽ OSIGURANJA RAČUNA S POVEĆANIM TRAJANJEM</w:t>
      </w:r>
    </w:p>
    <w:p w14:paraId="20959C12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proofErr w:type="spellStart"/>
      <w:r w:rsidRPr="00A06CC6">
        <w:rPr>
          <w:rFonts w:cstheme="minorHAnsi"/>
          <w:sz w:val="20"/>
          <w:szCs w:val="20"/>
          <w:lang w:val="it-IT"/>
        </w:rPr>
        <w:t>Članak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4.</w:t>
      </w:r>
    </w:p>
    <w:p w14:paraId="26912A38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proofErr w:type="spellStart"/>
      <w:r w:rsidRPr="00A06CC6">
        <w:rPr>
          <w:rFonts w:cstheme="minorHAnsi"/>
          <w:sz w:val="20"/>
          <w:szCs w:val="20"/>
          <w:lang w:val="it-IT"/>
        </w:rPr>
        <w:t>Osobito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teška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zdravlje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sposobnost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štetna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radna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kojima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povećanim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trajanjem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jesu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radna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kojima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postoje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štetni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utjecaji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zdravstveno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stanje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sposobnost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zaposlenika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unatoč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tome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što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primijenjene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opće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posebne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zaštitne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mjere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utvrđene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propisima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o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zaštiti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radu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2A0D6B5B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>ODJELJAK 1.</w:t>
      </w:r>
      <w:r w:rsidRPr="00A06CC6">
        <w:rPr>
          <w:rFonts w:cstheme="minorHAnsi"/>
          <w:sz w:val="20"/>
          <w:szCs w:val="20"/>
          <w:lang w:val="it-IT"/>
        </w:rPr>
        <w:br/>
        <w:t>U ŽELJEZARAMA</w:t>
      </w:r>
    </w:p>
    <w:p w14:paraId="5FDC40B2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proofErr w:type="spellStart"/>
      <w:r w:rsidRPr="00A06CC6">
        <w:rPr>
          <w:rFonts w:cstheme="minorHAnsi"/>
          <w:sz w:val="20"/>
          <w:szCs w:val="20"/>
          <w:lang w:val="it-IT"/>
        </w:rPr>
        <w:t>Članak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5.</w:t>
      </w:r>
    </w:p>
    <w:p w14:paraId="1FAAE72D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(1)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osobito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teška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zdravlje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sposobnost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štetna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radna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željezarama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utvrđuju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radna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talioničara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ljevača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čeličanama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7A735C25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(2)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Svakih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12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provedenih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stavka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14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36A2FD7D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>ODJELJAK 2.</w:t>
      </w:r>
      <w:r w:rsidRPr="00A06CC6">
        <w:rPr>
          <w:rFonts w:cstheme="minorHAnsi"/>
          <w:sz w:val="20"/>
          <w:szCs w:val="20"/>
          <w:lang w:val="it-IT"/>
        </w:rPr>
        <w:br/>
        <w:t>U LJEVAONICAMA</w:t>
      </w:r>
    </w:p>
    <w:p w14:paraId="25E37C9A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proofErr w:type="spellStart"/>
      <w:r w:rsidRPr="00A06CC6">
        <w:rPr>
          <w:rFonts w:cstheme="minorHAnsi"/>
          <w:sz w:val="20"/>
          <w:szCs w:val="20"/>
          <w:lang w:val="it-IT"/>
        </w:rPr>
        <w:t>Članak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6.</w:t>
      </w:r>
    </w:p>
    <w:p w14:paraId="232FF1C5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(1)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osobito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teška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zdravlje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sposobnost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štetna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radna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ljevaonicama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utvrđuju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se:</w:t>
      </w:r>
    </w:p>
    <w:p w14:paraId="015AD389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1. radna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zaposlenika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koji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rade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čišćenju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odljevaka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visećim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stabilnim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ručnim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brusilicama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ručnoj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izradi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kalupa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ručnom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istresanju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odljevaka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te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izbijanju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jezgara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ručno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pneumatskim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alatima</w:t>
      </w:r>
      <w:proofErr w:type="spellEnd"/>
    </w:p>
    <w:p w14:paraId="1471CE64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2. radna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zaposlenika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koji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rade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pripremi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preradi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kalupnih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mješavina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taljenju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lijevanju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istresanju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istresnoj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rešetki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te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izradi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jezgara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hladnim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postupkom</w:t>
      </w:r>
      <w:proofErr w:type="spellEnd"/>
    </w:p>
    <w:p w14:paraId="6D079ED4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3. radna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zaposlenika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koji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rade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čišćenju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odljevaka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(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brušenjem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);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poluautomatskoj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izradi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kalupa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;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izradi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jezgara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toplim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postupkom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;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vatrostalnom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održavanju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peći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lonaca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lijevanje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ručnoj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manipulaciji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teretom</w:t>
      </w:r>
      <w:proofErr w:type="spellEnd"/>
    </w:p>
    <w:p w14:paraId="586521D0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4. radna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brigadira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pogonu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ljevaonice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čistionice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3ACF1549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(2)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Svakih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12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provedenih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stavka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14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35705A80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>ODJELJAK 3.</w:t>
      </w:r>
      <w:r w:rsidRPr="00A06CC6">
        <w:rPr>
          <w:rFonts w:cstheme="minorHAnsi"/>
          <w:sz w:val="20"/>
          <w:szCs w:val="20"/>
          <w:lang w:val="it-IT"/>
        </w:rPr>
        <w:br/>
        <w:t>U PROIZVODNJI STAKLA</w:t>
      </w:r>
    </w:p>
    <w:p w14:paraId="324CB731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proofErr w:type="spellStart"/>
      <w:r w:rsidRPr="00A06CC6">
        <w:rPr>
          <w:rFonts w:cstheme="minorHAnsi"/>
          <w:sz w:val="20"/>
          <w:szCs w:val="20"/>
          <w:lang w:val="it-IT"/>
        </w:rPr>
        <w:t>Članak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7.</w:t>
      </w:r>
    </w:p>
    <w:p w14:paraId="441CB2B6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(1)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osobito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teška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zdravlje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sposobnost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štetna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radna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proizvodnji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stakla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utvrđuju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se:</w:t>
      </w:r>
    </w:p>
    <w:p w14:paraId="1C00B6C7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1. radna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zaposlenika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koji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rade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nabiranju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staklene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mase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staklopuhača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ručnom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oblikovanju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staklenih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proizvoda</w:t>
      </w:r>
      <w:proofErr w:type="spellEnd"/>
    </w:p>
    <w:p w14:paraId="6270AEC8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2.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rukovatelja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strojevima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najmanje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šest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sekcija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dvostrukom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kapi</w:t>
      </w:r>
      <w:proofErr w:type="spellEnd"/>
    </w:p>
    <w:p w14:paraId="17EE1B3B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3. radna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zaposlenika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koji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rade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ručnoj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nemehaniziranoj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pripremi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ubacivanju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smjese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staklarsku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peć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2497617B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(2)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Svakih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12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provedenih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stavka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točke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16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5E836441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(3)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Svakih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12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provedenih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stavka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točke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2.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15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71A9F0C5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(4)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Svakih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12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provedenih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stavka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točke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3.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14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1F86A9A2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>ODJELJAK 4.</w:t>
      </w:r>
      <w:r w:rsidRPr="00A06CC6">
        <w:rPr>
          <w:rFonts w:cstheme="minorHAnsi"/>
          <w:sz w:val="20"/>
          <w:szCs w:val="20"/>
          <w:lang w:val="it-IT"/>
        </w:rPr>
        <w:br/>
        <w:t>U POMORSKOJ BRODOGRADNJI</w:t>
      </w:r>
    </w:p>
    <w:p w14:paraId="0C266D44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proofErr w:type="spellStart"/>
      <w:r w:rsidRPr="00A06CC6">
        <w:rPr>
          <w:rFonts w:cstheme="minorHAnsi"/>
          <w:sz w:val="20"/>
          <w:szCs w:val="20"/>
          <w:lang w:val="it-IT"/>
        </w:rPr>
        <w:t>Članak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8.</w:t>
      </w:r>
    </w:p>
    <w:p w14:paraId="393A9322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(1)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osobito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teška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zdravlje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sposobnost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štetna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radna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pomorskoj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brodogradnji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utvrđuju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se:</w:t>
      </w:r>
    </w:p>
    <w:p w14:paraId="172B597E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1. radna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zaposlenika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koji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rade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čišćenju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hrđe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premazivanju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brodskih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elemenata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brodskom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trupu</w:t>
      </w:r>
      <w:proofErr w:type="spellEnd"/>
    </w:p>
    <w:p w14:paraId="7514FDF4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2. radna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brodomontera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predmontaži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montaži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brodskog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trupa</w:t>
      </w:r>
      <w:proofErr w:type="spellEnd"/>
    </w:p>
    <w:p w14:paraId="415F68E9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3.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brodoskelara</w:t>
      </w:r>
      <w:proofErr w:type="spellEnd"/>
    </w:p>
    <w:p w14:paraId="04488272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lastRenderedPageBreak/>
        <w:t xml:space="preserve">4. radna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elektrozavarivača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ručnom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elektrozavarivanju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žlijebljenju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predmontaži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montaži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opremanju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brodskog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trupa</w:t>
      </w:r>
      <w:proofErr w:type="spellEnd"/>
    </w:p>
    <w:p w14:paraId="6CC1140C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5. radna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plinskog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rezača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(</w:t>
      </w:r>
      <w:proofErr w:type="spellStart"/>
      <w:r w:rsidRPr="00A06CC6">
        <w:rPr>
          <w:rFonts w:cstheme="minorHAnsi"/>
          <w:sz w:val="20"/>
          <w:szCs w:val="20"/>
          <w:lang w:val="it-IT"/>
        </w:rPr>
        <w:t>ručno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)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ravnača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brodskih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elemenata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predmontaži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montaži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brodskog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trupa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te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opremanju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broda</w:t>
      </w:r>
    </w:p>
    <w:p w14:paraId="462AF8E2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6. radna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zaposlenika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koji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rade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pneumatskim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alatima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predmontaži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montaži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brodskog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trupa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te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opremanju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broda</w:t>
      </w:r>
    </w:p>
    <w:p w14:paraId="799ADEEC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7. radna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brodocjevara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brodokotlara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brodu</w:t>
      </w:r>
      <w:proofErr w:type="spellEnd"/>
    </w:p>
    <w:p w14:paraId="4567085C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8.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brodoizolatera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brodu</w:t>
      </w:r>
      <w:proofErr w:type="spellEnd"/>
    </w:p>
    <w:p w14:paraId="1CB87862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9.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brodoličioca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brodu</w:t>
      </w:r>
      <w:proofErr w:type="spellEnd"/>
    </w:p>
    <w:p w14:paraId="6BEEFB99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10.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brodobravara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– </w:t>
      </w:r>
      <w:proofErr w:type="spellStart"/>
      <w:r w:rsidRPr="00A06CC6">
        <w:rPr>
          <w:rFonts w:cstheme="minorHAnsi"/>
          <w:sz w:val="20"/>
          <w:szCs w:val="20"/>
          <w:lang w:val="it-IT"/>
        </w:rPr>
        <w:t>limara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brodu</w:t>
      </w:r>
      <w:proofErr w:type="spellEnd"/>
    </w:p>
    <w:p w14:paraId="4A371F08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11.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strojomontera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brodu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3FAE58E3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(2)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Svakih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12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provedenih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stavka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14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1E94D448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>ODJELJAK 5.</w:t>
      </w:r>
      <w:r w:rsidRPr="00A06CC6">
        <w:rPr>
          <w:rFonts w:cstheme="minorHAnsi"/>
          <w:sz w:val="20"/>
          <w:szCs w:val="20"/>
          <w:lang w:val="it-IT"/>
        </w:rPr>
        <w:br/>
        <w:t>U PROIZVODNJI NAFTE</w:t>
      </w:r>
    </w:p>
    <w:p w14:paraId="4EA0A380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proofErr w:type="spellStart"/>
      <w:r w:rsidRPr="00A06CC6">
        <w:rPr>
          <w:rFonts w:cstheme="minorHAnsi"/>
          <w:sz w:val="20"/>
          <w:szCs w:val="20"/>
          <w:lang w:val="it-IT"/>
        </w:rPr>
        <w:t>Članak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9.</w:t>
      </w:r>
    </w:p>
    <w:p w14:paraId="03AD3B12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(1)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osobito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teška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zdravlje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sposobnost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štetna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radna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proizvodnji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nafte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utvrđuju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se:</w:t>
      </w:r>
    </w:p>
    <w:p w14:paraId="27BFE5A7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1. radna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klinaša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bušenju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klinaša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remontu</w:t>
      </w:r>
      <w:proofErr w:type="spellEnd"/>
    </w:p>
    <w:p w14:paraId="07D9EF6B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2. radna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tornjaša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bušenju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tornjaša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remontu</w:t>
      </w:r>
      <w:proofErr w:type="spellEnd"/>
    </w:p>
    <w:p w14:paraId="4EC294BE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3. radna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vođe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smjene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pomoćnika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vođe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smjene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bušenju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remontu</w:t>
      </w:r>
      <w:proofErr w:type="spellEnd"/>
    </w:p>
    <w:p w14:paraId="19D111B2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4.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motorista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bušenju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04A096E2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(2)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Svakih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12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provedenih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stavka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točaka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1. i 2.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15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1FC91EF1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(3)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Svakih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12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provedenih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stavka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točaka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3. i 4.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14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01B4B7EE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>ODJELJAK 6.</w:t>
      </w:r>
      <w:r w:rsidRPr="00A06CC6">
        <w:rPr>
          <w:rFonts w:cstheme="minorHAnsi"/>
          <w:sz w:val="20"/>
          <w:szCs w:val="20"/>
          <w:lang w:val="it-IT"/>
        </w:rPr>
        <w:br/>
        <w:t>U PROIZVODNJI KOMPLEKSNIH</w:t>
      </w:r>
      <w:r w:rsidRPr="00A06CC6">
        <w:rPr>
          <w:rFonts w:cstheme="minorHAnsi"/>
          <w:sz w:val="20"/>
          <w:szCs w:val="20"/>
          <w:lang w:val="it-IT"/>
        </w:rPr>
        <w:br/>
        <w:t>DUŠIČNO-FOSFORNO-KALIJEVIH (NPK) UMJETNIH GNOJIVA</w:t>
      </w:r>
    </w:p>
    <w:p w14:paraId="0D00D7AB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proofErr w:type="spellStart"/>
      <w:r w:rsidRPr="00A06CC6">
        <w:rPr>
          <w:rFonts w:cstheme="minorHAnsi"/>
          <w:sz w:val="20"/>
          <w:szCs w:val="20"/>
          <w:lang w:val="it-IT"/>
        </w:rPr>
        <w:t>Članak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10.</w:t>
      </w:r>
    </w:p>
    <w:p w14:paraId="745E630F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(1)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osobito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teška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zdravlje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sposobnost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štetna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radna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proizvodnji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kompleksnih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dušično-fosforno-kalijevih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(NPK)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umjetnih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gnojiva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utvrđuju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radna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rukovatelja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reaktorom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pomoćnika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rukovatelja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reaktorom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640B2029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(2)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Svakih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12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provedenih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stavka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14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19DDC134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>ODJELJAK 7.</w:t>
      </w:r>
      <w:r w:rsidRPr="00A06CC6">
        <w:rPr>
          <w:rFonts w:cstheme="minorHAnsi"/>
          <w:sz w:val="20"/>
          <w:szCs w:val="20"/>
          <w:lang w:val="it-IT"/>
        </w:rPr>
        <w:br/>
        <w:t>U PROIZVODNJI GRAĐEVNOG MATERIJALA</w:t>
      </w:r>
    </w:p>
    <w:p w14:paraId="6B49A87A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proofErr w:type="spellStart"/>
      <w:r w:rsidRPr="00A06CC6">
        <w:rPr>
          <w:rFonts w:cstheme="minorHAnsi"/>
          <w:sz w:val="20"/>
          <w:szCs w:val="20"/>
          <w:lang w:val="it-IT"/>
        </w:rPr>
        <w:t>Članak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11.</w:t>
      </w:r>
    </w:p>
    <w:p w14:paraId="03D14031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(1)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osobito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teško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zdravlje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sposobnost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štetno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proizvodnji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građevnog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materijala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utvrđuje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pekača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klinkera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0D98529F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(2)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Svakih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12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provedenih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stavka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14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27A667CB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>ODJELJAK 8.</w:t>
      </w:r>
      <w:r w:rsidRPr="00A06CC6">
        <w:rPr>
          <w:rFonts w:cstheme="minorHAnsi"/>
          <w:sz w:val="20"/>
          <w:szCs w:val="20"/>
          <w:lang w:val="it-IT"/>
        </w:rPr>
        <w:br/>
        <w:t>U GRAĐEVINARSTVU</w:t>
      </w:r>
    </w:p>
    <w:p w14:paraId="35E89BE8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proofErr w:type="spellStart"/>
      <w:r w:rsidRPr="00A06CC6">
        <w:rPr>
          <w:rFonts w:cstheme="minorHAnsi"/>
          <w:sz w:val="20"/>
          <w:szCs w:val="20"/>
          <w:lang w:val="it-IT"/>
        </w:rPr>
        <w:t>Članak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12.</w:t>
      </w:r>
    </w:p>
    <w:p w14:paraId="37B1DFDC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(1)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osobito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teška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zdravlje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sposobnost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štetna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radna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probijanju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tunela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utvrđuju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radna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bušača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minera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–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palitelja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mina,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utovarivača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pomoćnih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zaposlenika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koji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radovima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tunelu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provedu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najmanje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80 %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stvarnog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radnog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vremena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tijekom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godine.</w:t>
      </w:r>
    </w:p>
    <w:p w14:paraId="3DE5C6D3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(2)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Svakih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12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provedenih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stavka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14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33096691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proofErr w:type="spellStart"/>
      <w:r w:rsidRPr="00A06CC6">
        <w:rPr>
          <w:rFonts w:cstheme="minorHAnsi"/>
          <w:sz w:val="20"/>
          <w:szCs w:val="20"/>
          <w:lang w:val="it-IT"/>
        </w:rPr>
        <w:t>Članak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13.</w:t>
      </w:r>
    </w:p>
    <w:p w14:paraId="0AB0A152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(1)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osobito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teško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zdravlje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sposobnost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štetno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gradnji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održavanju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dalekovoda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utvrđuje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visinskog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montera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izgradnji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i/ili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održavanju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dalekovoda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napona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110 kV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više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352975B2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(2)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Svakih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12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provedenih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stavka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15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1294FC44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>ODJELJAK 9.</w:t>
      </w:r>
      <w:r w:rsidRPr="00A06CC6">
        <w:rPr>
          <w:rFonts w:cstheme="minorHAnsi"/>
          <w:sz w:val="20"/>
          <w:szCs w:val="20"/>
          <w:lang w:val="it-IT"/>
        </w:rPr>
        <w:br/>
        <w:t>U GEOLOŠKIM I RUDARSKIM ISTRAŽIVANJIMA</w:t>
      </w:r>
    </w:p>
    <w:p w14:paraId="789E84EE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proofErr w:type="spellStart"/>
      <w:r w:rsidRPr="00A06CC6">
        <w:rPr>
          <w:rFonts w:cstheme="minorHAnsi"/>
          <w:sz w:val="20"/>
          <w:szCs w:val="20"/>
          <w:lang w:val="it-IT"/>
        </w:rPr>
        <w:t>Članak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14.</w:t>
      </w:r>
    </w:p>
    <w:p w14:paraId="745EA28F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(1)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osobito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teška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zdravlje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sposobnost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štetna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radna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geološkim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rudarskim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lastRenderedPageBreak/>
        <w:t>istraživanjima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utvrđuju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radna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bušača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istražnog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bušenja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bušača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injektirca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6D8F2AC7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(2)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Svakih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12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provedenih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stavka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14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2869049D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>ODJELJAK 10.</w:t>
      </w:r>
      <w:r w:rsidRPr="00A06CC6">
        <w:rPr>
          <w:rFonts w:cstheme="minorHAnsi"/>
          <w:sz w:val="20"/>
          <w:szCs w:val="20"/>
          <w:lang w:val="it-IT"/>
        </w:rPr>
        <w:br/>
        <w:t>U PROMETU</w:t>
      </w:r>
    </w:p>
    <w:p w14:paraId="5FE2B94D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proofErr w:type="spellStart"/>
      <w:r w:rsidRPr="00A06CC6">
        <w:rPr>
          <w:rFonts w:cstheme="minorHAnsi"/>
          <w:sz w:val="20"/>
          <w:szCs w:val="20"/>
          <w:lang w:val="it-IT"/>
        </w:rPr>
        <w:t>Članak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15.</w:t>
      </w:r>
    </w:p>
    <w:p w14:paraId="17EB96A4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(1)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osobito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teška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zdravlje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sposobnost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štetna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radna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željezničkom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prometu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utvrđuju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se:</w:t>
      </w:r>
    </w:p>
    <w:p w14:paraId="43FED8FC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1. radna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strojovođe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električnih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vučnih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dizelskih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vučnih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vozila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prugu</w:t>
      </w:r>
      <w:proofErr w:type="spellEnd"/>
    </w:p>
    <w:p w14:paraId="22D7195C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2. radna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rukovatelja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manevre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manevrista</w:t>
      </w:r>
      <w:proofErr w:type="spellEnd"/>
    </w:p>
    <w:p w14:paraId="30F4A1C9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3.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prometnika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vlakova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ranžirnim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(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ranžirno-rasporednim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stanicama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obujmom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rada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većim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gramStart"/>
      <w:r w:rsidRPr="00A06CC6">
        <w:rPr>
          <w:rFonts w:cstheme="minorHAnsi"/>
          <w:sz w:val="20"/>
          <w:szCs w:val="20"/>
          <w:lang w:val="it-IT"/>
        </w:rPr>
        <w:t>od</w:t>
      </w:r>
      <w:proofErr w:type="gramEnd"/>
      <w:r w:rsidRPr="00A06CC6">
        <w:rPr>
          <w:rFonts w:cstheme="minorHAnsi"/>
          <w:sz w:val="20"/>
          <w:szCs w:val="20"/>
          <w:lang w:val="it-IT"/>
        </w:rPr>
        <w:t xml:space="preserve"> 250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kola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prerađenih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prema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tipu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I. i II.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jednoj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turnusnoj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smjeni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prosječno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tijekom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godine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brojem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vlakova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dolazu</w:t>
      </w:r>
      <w:proofErr w:type="spellEnd"/>
      <w:r w:rsidRPr="00A06CC6">
        <w:rPr>
          <w:rFonts w:cstheme="minorHAnsi"/>
          <w:sz w:val="20"/>
          <w:szCs w:val="20"/>
          <w:lang w:val="it-IT"/>
        </w:rPr>
        <w:t>, (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prolazu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),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odlazu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većim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gramStart"/>
      <w:r w:rsidRPr="00A06CC6">
        <w:rPr>
          <w:rFonts w:cstheme="minorHAnsi"/>
          <w:sz w:val="20"/>
          <w:szCs w:val="20"/>
          <w:lang w:val="it-IT"/>
        </w:rPr>
        <w:t>od</w:t>
      </w:r>
      <w:proofErr w:type="gramEnd"/>
      <w:r w:rsidRPr="00A06CC6">
        <w:rPr>
          <w:rFonts w:cstheme="minorHAnsi"/>
          <w:sz w:val="20"/>
          <w:szCs w:val="20"/>
          <w:lang w:val="it-IT"/>
        </w:rPr>
        <w:t xml:space="preserve"> 32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vlaka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jednoj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turnusnoj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smjeni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prosječno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tijekom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godine,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rasporednim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stanicama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preradom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kola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prema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tipu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I. i/ili II.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kojima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jednoj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turnusnoj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smjeni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prosječno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tijekom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godine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prođe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više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gramStart"/>
      <w:r w:rsidRPr="00A06CC6">
        <w:rPr>
          <w:rFonts w:cstheme="minorHAnsi"/>
          <w:sz w:val="20"/>
          <w:szCs w:val="20"/>
          <w:lang w:val="it-IT"/>
        </w:rPr>
        <w:t>od</w:t>
      </w:r>
      <w:proofErr w:type="gramEnd"/>
      <w:r w:rsidRPr="00A06CC6">
        <w:rPr>
          <w:rFonts w:cstheme="minorHAnsi"/>
          <w:sz w:val="20"/>
          <w:szCs w:val="20"/>
          <w:lang w:val="it-IT"/>
        </w:rPr>
        <w:t xml:space="preserve"> 160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vlakova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(u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odlazu</w:t>
      </w:r>
      <w:proofErr w:type="spellEnd"/>
      <w:r w:rsidRPr="00A06CC6">
        <w:rPr>
          <w:rFonts w:cstheme="minorHAnsi"/>
          <w:sz w:val="20"/>
          <w:szCs w:val="20"/>
          <w:lang w:val="it-IT"/>
        </w:rPr>
        <w:t>/</w:t>
      </w:r>
      <w:proofErr w:type="spellStart"/>
      <w:r w:rsidRPr="00A06CC6">
        <w:rPr>
          <w:rFonts w:cstheme="minorHAnsi"/>
          <w:sz w:val="20"/>
          <w:szCs w:val="20"/>
          <w:lang w:val="it-IT"/>
        </w:rPr>
        <w:t>dolazu</w:t>
      </w:r>
      <w:proofErr w:type="spellEnd"/>
      <w:r w:rsidRPr="00A06CC6">
        <w:rPr>
          <w:rFonts w:cstheme="minorHAnsi"/>
          <w:sz w:val="20"/>
          <w:szCs w:val="20"/>
          <w:lang w:val="it-IT"/>
        </w:rPr>
        <w:t>/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prolazu</w:t>
      </w:r>
      <w:proofErr w:type="spellEnd"/>
      <w:r w:rsidRPr="00A06CC6">
        <w:rPr>
          <w:rFonts w:cstheme="minorHAnsi"/>
          <w:sz w:val="20"/>
          <w:szCs w:val="20"/>
          <w:lang w:val="it-IT"/>
        </w:rPr>
        <w:t>)</w:t>
      </w:r>
    </w:p>
    <w:p w14:paraId="33EF5ACF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4.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prometnika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vlakova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koji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regulira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promet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postavnice</w:t>
      </w:r>
      <w:proofErr w:type="spellEnd"/>
    </w:p>
    <w:p w14:paraId="007B9949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5.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strojovođe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manevarki</w:t>
      </w:r>
      <w:proofErr w:type="spellEnd"/>
    </w:p>
    <w:p w14:paraId="20B43015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6.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pomoćnika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strojovođe</w:t>
      </w:r>
      <w:proofErr w:type="spellEnd"/>
    </w:p>
    <w:p w14:paraId="3BA54FB3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7.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prometnika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vlakova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stanicama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kroz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prođu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32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više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vlakova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jednoj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turnusnoj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smjeni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prosječno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tijekom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godine</w:t>
      </w:r>
    </w:p>
    <w:p w14:paraId="4FEF629A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8.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pregledača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vagona</w:t>
      </w:r>
      <w:proofErr w:type="spellEnd"/>
    </w:p>
    <w:p w14:paraId="2DA68490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9.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skretničara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koji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neposredno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(</w:t>
      </w:r>
      <w:proofErr w:type="spellStart"/>
      <w:r w:rsidRPr="00A06CC6">
        <w:rPr>
          <w:rFonts w:cstheme="minorHAnsi"/>
          <w:sz w:val="20"/>
          <w:szCs w:val="20"/>
          <w:lang w:val="it-IT"/>
        </w:rPr>
        <w:t>ručno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licu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rukuje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skretnicama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stanicama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32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više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vlakova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jednoj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turnusnoj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smjeni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zaposlenika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prosječno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tijekom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godine.</w:t>
      </w:r>
    </w:p>
    <w:p w14:paraId="68386140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(2)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Svakih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12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provedenih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stavka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točke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16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55F7C564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(3)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Svakih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12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provedenih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stavka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točaka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2. do 9.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14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1D5C71CF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(4)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Pod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postavnicom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stavka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točke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4.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podrazumijeva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poseban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objekt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ili dio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objekta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smještaj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logike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signalno-sigurnosnog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uređaja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stanice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signalno-komandnog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stola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putem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kojega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otpremnici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vlakova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postavnici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reguliraju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kretanje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vlakova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manevarsku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vožnju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7E86DBED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(5)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Osnova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utvrđivanje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broja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vlakova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je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prosječan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broj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vlakova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vrijedećih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voznih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redova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kalendarskoj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godini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a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utvrđivanje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broja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prerađenih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kola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prema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tipu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I. i II.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služi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službena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dokumentacija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o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broju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ostvarene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prerade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kola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prema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tipu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I. i II.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određenoj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stanici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tijekom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iste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godine.</w:t>
      </w:r>
    </w:p>
    <w:p w14:paraId="16B0091D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(6)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Broj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vlakova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utvrđuje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tako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da </w:t>
      </w:r>
      <w:proofErr w:type="gramStart"/>
      <w:r w:rsidRPr="00A06CC6">
        <w:rPr>
          <w:rFonts w:cstheme="minorHAnsi"/>
          <w:sz w:val="20"/>
          <w:szCs w:val="20"/>
          <w:lang w:val="it-IT"/>
        </w:rPr>
        <w:t>se</w:t>
      </w:r>
      <w:proofErr w:type="gram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jedan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dolazak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vlaka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stanicu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krajnju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stanicu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vlaka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dva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vlaka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jedan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odlazak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vlaka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stanice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polazne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stanice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vlaka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dva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vlaka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jedan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prolazak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vlaka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koji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stanici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zaustavlja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jedan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vlak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jedan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prolazak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vlaka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kroz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stanicu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bez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zaustavljanja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jedan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vlak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7A5A544E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(7)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Osnova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utvrđivanje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broja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vlakova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je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vozni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red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proteklu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kalendarsku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godinu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76612C12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proofErr w:type="spellStart"/>
      <w:r w:rsidRPr="00A06CC6">
        <w:rPr>
          <w:rFonts w:cstheme="minorHAnsi"/>
          <w:sz w:val="20"/>
          <w:szCs w:val="20"/>
          <w:lang w:val="it-IT"/>
        </w:rPr>
        <w:t>Članak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16.</w:t>
      </w:r>
    </w:p>
    <w:p w14:paraId="08E49292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(1)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osobito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teška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zdravlje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sposobnost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štetna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radna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cestovnom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prometu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utvrđuju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se:</w:t>
      </w:r>
    </w:p>
    <w:p w14:paraId="43D7B166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vozača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teretnog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vozila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nosivosti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jednake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ili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veće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gramStart"/>
      <w:r w:rsidRPr="00A06CC6">
        <w:rPr>
          <w:rFonts w:cstheme="minorHAnsi"/>
          <w:sz w:val="20"/>
          <w:szCs w:val="20"/>
          <w:lang w:val="it-IT"/>
        </w:rPr>
        <w:t>od</w:t>
      </w:r>
      <w:proofErr w:type="gramEnd"/>
      <w:r w:rsidRPr="00A06CC6">
        <w:rPr>
          <w:rFonts w:cstheme="minorHAnsi"/>
          <w:sz w:val="20"/>
          <w:szCs w:val="20"/>
          <w:lang w:val="it-IT"/>
        </w:rPr>
        <w:t xml:space="preserve"> 7,5 tona</w:t>
      </w:r>
    </w:p>
    <w:p w14:paraId="44BD5F09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2.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vozača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autobusa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redovitom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javnom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međugradskom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prijevozu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putnika</w:t>
      </w:r>
      <w:proofErr w:type="spellEnd"/>
    </w:p>
    <w:p w14:paraId="2FF3B2F6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3. radna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vozača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tramvaja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vozača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autobusa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gradskom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prometu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33256747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(2)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Svakih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12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provedenih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stavka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14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3CF7D573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>ODJELJAK 11.</w:t>
      </w:r>
      <w:r w:rsidRPr="00A06CC6">
        <w:rPr>
          <w:rFonts w:cstheme="minorHAnsi"/>
          <w:sz w:val="20"/>
          <w:szCs w:val="20"/>
          <w:lang w:val="it-IT"/>
        </w:rPr>
        <w:br/>
        <w:t>U KOMUNALNOJ DJELATNOSTI</w:t>
      </w:r>
    </w:p>
    <w:p w14:paraId="0AC481A2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proofErr w:type="spellStart"/>
      <w:r w:rsidRPr="00A06CC6">
        <w:rPr>
          <w:rFonts w:cstheme="minorHAnsi"/>
          <w:sz w:val="20"/>
          <w:szCs w:val="20"/>
          <w:lang w:val="it-IT"/>
        </w:rPr>
        <w:t>Članak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17.</w:t>
      </w:r>
    </w:p>
    <w:p w14:paraId="2FADEA10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(1)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osobito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teško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zdravlje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sposobnost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štetno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komunalnoj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djelatnosti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utvrđuje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dimnjačara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koji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radi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čišćenju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štednjaka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stanovima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dimnjaka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kosim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ravnim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krovovima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vađenju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čađe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dimnjaka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čišćenju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ložišta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centralnog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grijanja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3DF922DB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lastRenderedPageBreak/>
        <w:t xml:space="preserve">(2)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Svakih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12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provedenih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stavka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14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19BB0A7F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>ODJELJAK 12.</w:t>
      </w:r>
      <w:r w:rsidRPr="00A06CC6">
        <w:rPr>
          <w:rFonts w:cstheme="minorHAnsi"/>
          <w:sz w:val="20"/>
          <w:szCs w:val="20"/>
          <w:lang w:val="it-IT"/>
        </w:rPr>
        <w:br/>
        <w:t>U ŠUMARSTVU</w:t>
      </w:r>
    </w:p>
    <w:p w14:paraId="378E62EF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proofErr w:type="spellStart"/>
      <w:r w:rsidRPr="00A06CC6">
        <w:rPr>
          <w:rFonts w:cstheme="minorHAnsi"/>
          <w:sz w:val="20"/>
          <w:szCs w:val="20"/>
          <w:lang w:val="it-IT"/>
        </w:rPr>
        <w:t>Članak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18.</w:t>
      </w:r>
    </w:p>
    <w:p w14:paraId="6C763886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(1)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osobito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teško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zdravlje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sposobnost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štetno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šumarstvu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utvrđuje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šumskog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sjekača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0E635462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(2)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Svakih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12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provedenih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stavka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16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13A8F611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>ODJELJAK 13.</w:t>
      </w:r>
      <w:r w:rsidRPr="00A06CC6">
        <w:rPr>
          <w:rFonts w:cstheme="minorHAnsi"/>
          <w:sz w:val="20"/>
          <w:szCs w:val="20"/>
          <w:lang w:val="it-IT"/>
        </w:rPr>
        <w:br/>
        <w:t>U POMORSKOM RIBARSTVU</w:t>
      </w:r>
    </w:p>
    <w:p w14:paraId="53F4A212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proofErr w:type="spellStart"/>
      <w:r w:rsidRPr="00A06CC6">
        <w:rPr>
          <w:rFonts w:cstheme="minorHAnsi"/>
          <w:sz w:val="20"/>
          <w:szCs w:val="20"/>
          <w:lang w:val="it-IT"/>
        </w:rPr>
        <w:t>Članak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19.</w:t>
      </w:r>
    </w:p>
    <w:p w14:paraId="6AFA79B5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(1)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osobito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teško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zdravlje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sposobnost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štetno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pomorskom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ribarstvu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utvrđuje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profesionalnog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ribara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261C078C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(2)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Svakih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12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provedenih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stavka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15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1C5A43D4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>ODJELJAK 14.</w:t>
      </w:r>
      <w:r w:rsidRPr="00A06CC6">
        <w:rPr>
          <w:rFonts w:cstheme="minorHAnsi"/>
          <w:sz w:val="20"/>
          <w:szCs w:val="20"/>
          <w:lang w:val="it-IT"/>
        </w:rPr>
        <w:br/>
        <w:t>U TEKSTILNOJ INDUSTRIJI</w:t>
      </w:r>
    </w:p>
    <w:p w14:paraId="4DE8D7CF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proofErr w:type="spellStart"/>
      <w:r w:rsidRPr="00A06CC6">
        <w:rPr>
          <w:rFonts w:cstheme="minorHAnsi"/>
          <w:sz w:val="20"/>
          <w:szCs w:val="20"/>
          <w:lang w:val="it-IT"/>
        </w:rPr>
        <w:t>Članak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20.</w:t>
      </w:r>
    </w:p>
    <w:p w14:paraId="78ABF816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(1)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osobito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teška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zdravlje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sposobnost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štetna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radna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tekstilnoj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industriji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utvrđuju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se:</w:t>
      </w:r>
    </w:p>
    <w:p w14:paraId="785966AA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tkalca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tkalačkim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strojevima</w:t>
      </w:r>
      <w:proofErr w:type="spellEnd"/>
    </w:p>
    <w:p w14:paraId="18C47F92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2.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poslužitelja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stroja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vlačenje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vlakana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455EC899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(2)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Svakih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12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provedenih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stavka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14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60427723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>ODJELJAK 15.</w:t>
      </w:r>
      <w:r w:rsidRPr="00A06CC6">
        <w:rPr>
          <w:rFonts w:cstheme="minorHAnsi"/>
          <w:sz w:val="20"/>
          <w:szCs w:val="20"/>
          <w:lang w:val="it-IT"/>
        </w:rPr>
        <w:br/>
        <w:t>NA POSLOVIMA MONTAŽE INDUSTRIJSKIH POSTROJENJA</w:t>
      </w:r>
    </w:p>
    <w:p w14:paraId="70E16695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proofErr w:type="spellStart"/>
      <w:r w:rsidRPr="00A06CC6">
        <w:rPr>
          <w:rFonts w:cstheme="minorHAnsi"/>
          <w:sz w:val="20"/>
          <w:szCs w:val="20"/>
          <w:lang w:val="it-IT"/>
        </w:rPr>
        <w:t>Članak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21.</w:t>
      </w:r>
    </w:p>
    <w:p w14:paraId="12295F6A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(1)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osobito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teška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zdravlje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sposobnost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štetna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radna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poslovima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montaže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industrijskih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postrojenja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utvrđuju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se:</w:t>
      </w:r>
    </w:p>
    <w:p w14:paraId="583E0D98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1. radna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bravara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zavarivača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izgradnji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industrijskih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postrojenja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trgovačkim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društvima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kojima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je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djelatnost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registrirana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trgovačkom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sudu</w:t>
      </w:r>
      <w:proofErr w:type="spellEnd"/>
    </w:p>
    <w:p w14:paraId="5F9C60E0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2. radna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visinskog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elektrozavarivača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visinskog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plinskog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zavarivača</w:t>
      </w:r>
      <w:proofErr w:type="spellEnd"/>
    </w:p>
    <w:p w14:paraId="0D3D575B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3.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visinskog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bravara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montažera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054CF9B5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(2)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Svakih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12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provedenih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stavka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15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75143858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>ODJELJAK 16.</w:t>
      </w:r>
      <w:r w:rsidRPr="00A06CC6">
        <w:rPr>
          <w:rFonts w:cstheme="minorHAnsi"/>
          <w:sz w:val="20"/>
          <w:szCs w:val="20"/>
          <w:lang w:val="it-IT"/>
        </w:rPr>
        <w:br/>
        <w:t>U PROIZVODNJI KAMENE VUNE</w:t>
      </w:r>
    </w:p>
    <w:p w14:paraId="23C26C86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proofErr w:type="spellStart"/>
      <w:r w:rsidRPr="00A06CC6">
        <w:rPr>
          <w:rFonts w:cstheme="minorHAnsi"/>
          <w:sz w:val="20"/>
          <w:szCs w:val="20"/>
          <w:lang w:val="it-IT"/>
        </w:rPr>
        <w:t>Članak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22.</w:t>
      </w:r>
    </w:p>
    <w:p w14:paraId="74CA2186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(1)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osobito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teško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zdravlje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sposobnost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štetno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proizvodnji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kamene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vune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utvrđuje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talioničara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kupolnim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pećima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stalnom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postupku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lijevanja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09751183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(2)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Svakih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12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provedenih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stavka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14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6B2D7D91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>ODJELJAK 17.</w:t>
      </w:r>
      <w:r w:rsidRPr="00A06CC6">
        <w:rPr>
          <w:rFonts w:cstheme="minorHAnsi"/>
          <w:sz w:val="20"/>
          <w:szCs w:val="20"/>
          <w:lang w:val="it-IT"/>
        </w:rPr>
        <w:br/>
        <w:t>U KAMENOLOMU</w:t>
      </w:r>
    </w:p>
    <w:p w14:paraId="4B371F9B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proofErr w:type="spellStart"/>
      <w:r w:rsidRPr="00A06CC6">
        <w:rPr>
          <w:rFonts w:cstheme="minorHAnsi"/>
          <w:sz w:val="20"/>
          <w:szCs w:val="20"/>
          <w:lang w:val="it-IT"/>
        </w:rPr>
        <w:t>Članak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23.</w:t>
      </w:r>
    </w:p>
    <w:p w14:paraId="1CC467EF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(1)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osobito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teška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zdravlje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sposobnost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štetna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radna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kamenolomu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utvrđuju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se:</w:t>
      </w:r>
    </w:p>
    <w:p w14:paraId="35D40182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1. radna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bušača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ručnom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bušenju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te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bušenju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lafetnoj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dubinskoj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bušilici</w:t>
      </w:r>
      <w:proofErr w:type="spellEnd"/>
    </w:p>
    <w:p w14:paraId="214AAF38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2. radna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kamenoresca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klesara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vezača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pomoćnog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zaposlenika</w:t>
      </w:r>
      <w:proofErr w:type="spellEnd"/>
    </w:p>
    <w:p w14:paraId="4930CCC3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3.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rukovatelja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utovarivača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702C3160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(2)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Svakih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12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provedenih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stavka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14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6A6F163A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>POGLAVLJE II.</w:t>
      </w:r>
      <w:r w:rsidRPr="00A06CC6">
        <w:rPr>
          <w:rFonts w:cstheme="minorHAnsi"/>
          <w:sz w:val="20"/>
          <w:szCs w:val="20"/>
          <w:lang w:val="it-IT"/>
        </w:rPr>
        <w:br/>
        <w:t>ZANIMANJA NA KOJIMA SE STAŽ OSIGURANJA RAČUNA S POVEĆANIM TRAJANJEM</w:t>
      </w:r>
    </w:p>
    <w:p w14:paraId="42B48DB4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proofErr w:type="spellStart"/>
      <w:r w:rsidRPr="00A06CC6">
        <w:rPr>
          <w:rFonts w:cstheme="minorHAnsi"/>
          <w:sz w:val="20"/>
          <w:szCs w:val="20"/>
          <w:lang w:val="it-IT"/>
        </w:rPr>
        <w:t>Članak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24.</w:t>
      </w:r>
    </w:p>
    <w:p w14:paraId="23AD1C0B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(1)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Utvrđuju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zanimanja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kojima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fiziološke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funkcije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organizma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nakon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određenih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godina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života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opadaju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toj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mjeri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da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onemogućavaju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uspješno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obavljanje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poslova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zanimanja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sljedećim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mjestima</w:t>
      </w:r>
      <w:proofErr w:type="spellEnd"/>
      <w:r w:rsidRPr="00A06CC6">
        <w:rPr>
          <w:rFonts w:cstheme="minorHAnsi"/>
          <w:sz w:val="20"/>
          <w:szCs w:val="20"/>
          <w:lang w:val="it-IT"/>
        </w:rPr>
        <w:t>:</w:t>
      </w:r>
    </w:p>
    <w:p w14:paraId="431989D1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lastRenderedPageBreak/>
        <w:t xml:space="preserve">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plesač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klasičnog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baleta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plesač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suvremenog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plesa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baletni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majstor</w:t>
      </w:r>
      <w:proofErr w:type="spellEnd"/>
    </w:p>
    <w:p w14:paraId="45C8FD21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2.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operni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pjevač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–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solist</w:t>
      </w:r>
      <w:proofErr w:type="spellEnd"/>
    </w:p>
    <w:p w14:paraId="4AA3AB89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3.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plesač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–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pjevač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profesionalnim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ansamblima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narodnih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plesova</w:t>
      </w:r>
      <w:proofErr w:type="spellEnd"/>
    </w:p>
    <w:p w14:paraId="03F88ABA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4.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pilot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aviona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pilot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helikoptera</w:t>
      </w:r>
      <w:proofErr w:type="spellEnd"/>
    </w:p>
    <w:p w14:paraId="70EEC0E2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5.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nastavnik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motornog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letenja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zrakoplovnog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jedriličarstva</w:t>
      </w:r>
      <w:proofErr w:type="spellEnd"/>
    </w:p>
    <w:p w14:paraId="126A8A9A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6.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nastavnik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padobranstva</w:t>
      </w:r>
      <w:proofErr w:type="spellEnd"/>
    </w:p>
    <w:p w14:paraId="1C53EA06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7.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radiotelegrafist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(</w:t>
      </w:r>
      <w:proofErr w:type="spellStart"/>
      <w:r w:rsidRPr="00A06CC6">
        <w:rPr>
          <w:rFonts w:cstheme="minorHAnsi"/>
          <w:sz w:val="20"/>
          <w:szCs w:val="20"/>
          <w:lang w:val="it-IT"/>
        </w:rPr>
        <w:t>letač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), navigator </w:t>
      </w:r>
      <w:proofErr w:type="spellStart"/>
      <w:r w:rsidRPr="00A06CC6">
        <w:rPr>
          <w:rFonts w:cstheme="minorHAnsi"/>
          <w:sz w:val="20"/>
          <w:szCs w:val="20"/>
          <w:lang w:val="it-IT"/>
        </w:rPr>
        <w:t>leta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zrakoplovni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mehaničar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(</w:t>
      </w:r>
      <w:proofErr w:type="spellStart"/>
      <w:r w:rsidRPr="00A06CC6">
        <w:rPr>
          <w:rFonts w:cstheme="minorHAnsi"/>
          <w:sz w:val="20"/>
          <w:szCs w:val="20"/>
          <w:lang w:val="it-IT"/>
        </w:rPr>
        <w:t>letač</w:t>
      </w:r>
      <w:proofErr w:type="spellEnd"/>
      <w:r w:rsidRPr="00A06CC6">
        <w:rPr>
          <w:rFonts w:cstheme="minorHAnsi"/>
          <w:sz w:val="20"/>
          <w:szCs w:val="20"/>
          <w:lang w:val="it-IT"/>
        </w:rPr>
        <w:t>)</w:t>
      </w:r>
    </w:p>
    <w:p w14:paraId="5A45A4DF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8.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ronilac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ronilac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spužvi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koralja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nastavnik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ronjenja</w:t>
      </w:r>
      <w:proofErr w:type="spellEnd"/>
    </w:p>
    <w:p w14:paraId="3CD2DDCC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9.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dimnjačar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dimnjačar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majstor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(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čišćenje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visokih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tvorničkih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dimnjaka</w:t>
      </w:r>
      <w:proofErr w:type="spellEnd"/>
      <w:r w:rsidRPr="00A06CC6">
        <w:rPr>
          <w:rFonts w:cstheme="minorHAnsi"/>
          <w:sz w:val="20"/>
          <w:szCs w:val="20"/>
          <w:lang w:val="it-IT"/>
        </w:rPr>
        <w:t>)</w:t>
      </w:r>
    </w:p>
    <w:p w14:paraId="0093AC56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10.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kontrolor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zračnog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prometa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važećim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ovlaštenjem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oblasnu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nadzornu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kontrolu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kontrolor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zračnog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prometa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važećim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ovlaštenjem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oblasnu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proceduralnu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kontrolu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kontrolor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zračnog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prometa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važećim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ovlaštenjem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prilaznu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nadzornu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kontrolu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kontrolor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zračnog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prometa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važećim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ovlaštenjem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proceduralnu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nadzornu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kontrolu</w:t>
      </w:r>
      <w:proofErr w:type="spellEnd"/>
    </w:p>
    <w:p w14:paraId="3C470ED2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11.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kontrolor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zračnog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prometa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važećim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ovlaštenjem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aerodromsku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vizualnu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kontrolu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kontrolor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zračnog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prometa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važećim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ovlaštenjem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aerodromsku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instrumentalnu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kontrolu</w:t>
      </w:r>
      <w:proofErr w:type="spellEnd"/>
    </w:p>
    <w:p w14:paraId="0D10753F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12.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voditelj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kabinske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posade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zrakoplova</w:t>
      </w:r>
      <w:proofErr w:type="spellEnd"/>
    </w:p>
    <w:p w14:paraId="4B6EA07E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13.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kabinske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posade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zrakoplova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6E0FDADC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(2)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Svakih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12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provedenih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stavka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točaka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1. do 8.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18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714C28FF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(3)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Svakih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12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provedenih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stavka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točaka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9. i 10.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16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11CDC13D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(4)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Svakih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12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provedenih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stavka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točaka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11. do 13.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15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1D7B0BB7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>POGLAVLJE III.</w:t>
      </w:r>
      <w:r w:rsidRPr="00A06CC6">
        <w:rPr>
          <w:rFonts w:cstheme="minorHAnsi"/>
          <w:sz w:val="20"/>
          <w:szCs w:val="20"/>
          <w:lang w:val="it-IT"/>
        </w:rPr>
        <w:br/>
        <w:t>POSTUPAK UTVRĐIVANJA ODNOSNO UKIDANJA RADNIH MJESTA I ZANIMANJA NA KOJIMA SE STAŽ OSIGURANJA RAČUNA S POVEĆANIM TRAJANJEM</w:t>
      </w:r>
    </w:p>
    <w:p w14:paraId="147D3B0F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proofErr w:type="spellStart"/>
      <w:r w:rsidRPr="00A06CC6">
        <w:rPr>
          <w:rFonts w:cstheme="minorHAnsi"/>
          <w:sz w:val="20"/>
          <w:szCs w:val="20"/>
          <w:lang w:val="it-IT"/>
        </w:rPr>
        <w:t>Članak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25.</w:t>
      </w:r>
    </w:p>
    <w:p w14:paraId="234F5E2E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(1)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Poticaj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utvrđivanje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odnosno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ukidanje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zanimanja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kojima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povećanim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trajanjem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prema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Zakonu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može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dati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poslodavac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ili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sindikat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temelju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stručne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dokumentacije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izrađene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prema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metodologiji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je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propisana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pravilnikom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stavka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5.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36DCD93D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(2)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Podnositelj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poticaja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stavka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dužan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je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priložiti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stručnu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dokumentaciju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5186BA6C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(3)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Stručna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dokumentacija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izrađena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prema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metodologiji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stavka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dostavlja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ministarstvu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nadležnom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mirovinski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sustav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pribavlja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mišljenje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specijaliziranih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znanstvenih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ili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stručnih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ustanova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38AAA317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(4)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Troškove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izrade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stručne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dokumentacije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snosi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podnositelj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poticaja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053F8BBD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(5)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Pravilnik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o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metodologiji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izrade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stručne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dokumentacije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radi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utvrđivanja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povećanim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trajanjem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propisuje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ministar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nadležan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mirovinski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sustav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71E09817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>POGLAVLJE IV.</w:t>
      </w:r>
      <w:r w:rsidRPr="00A06CC6">
        <w:rPr>
          <w:rFonts w:cstheme="minorHAnsi"/>
          <w:sz w:val="20"/>
          <w:szCs w:val="20"/>
          <w:lang w:val="it-IT"/>
        </w:rPr>
        <w:br/>
        <w:t>OSIGURANICI KOJIMA SE STAŽ OSIGURANJA RAČUNA S POVEĆANIM TRAJANJEM</w:t>
      </w:r>
    </w:p>
    <w:p w14:paraId="5037A0AB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proofErr w:type="spellStart"/>
      <w:r w:rsidRPr="00A06CC6">
        <w:rPr>
          <w:rFonts w:cstheme="minorHAnsi"/>
          <w:sz w:val="20"/>
          <w:szCs w:val="20"/>
          <w:lang w:val="it-IT"/>
        </w:rPr>
        <w:t>Članak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26.</w:t>
      </w:r>
    </w:p>
    <w:p w14:paraId="011B92C5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(1)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povećanim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trajanjem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osiguranicima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–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osobama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invaliditetom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: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osobama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oboljelim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od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distrofije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srodnih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mišićnih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neuromišićnih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bolesti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oboljelima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od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paraplegije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cerebralne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dječje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paralize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multiple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skleroze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srodnih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bolesti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slijepim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osobama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gluhim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osobama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gluhoslijepim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osobama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osobama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oboljelim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od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reumatoidnog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artritisa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drugih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sustavnih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upalnih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bolesti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zglobova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vezivnog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tkiva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(</w:t>
      </w:r>
      <w:proofErr w:type="spellStart"/>
      <w:r w:rsidRPr="00A06CC6">
        <w:rPr>
          <w:rFonts w:cstheme="minorHAnsi"/>
          <w:sz w:val="20"/>
          <w:szCs w:val="20"/>
          <w:lang w:val="it-IT"/>
        </w:rPr>
        <w:t>ankilozantni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spondilitis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psorijatični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artritis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seronegativni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artritis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sistemski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eritemski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lupus,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sklerodermija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polimiozitis</w:t>
      </w:r>
      <w:proofErr w:type="spellEnd"/>
      <w:r w:rsidRPr="00A06CC6">
        <w:rPr>
          <w:rFonts w:cstheme="minorHAnsi"/>
          <w:sz w:val="20"/>
          <w:szCs w:val="20"/>
          <w:lang w:val="it-IT"/>
        </w:rPr>
        <w:t>/</w:t>
      </w:r>
      <w:proofErr w:type="spellStart"/>
      <w:r w:rsidRPr="00A06CC6">
        <w:rPr>
          <w:rFonts w:cstheme="minorHAnsi"/>
          <w:sz w:val="20"/>
          <w:szCs w:val="20"/>
          <w:lang w:val="it-IT"/>
        </w:rPr>
        <w:t>dermatomiozitis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),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osobama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kod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kojih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postoje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funkcionalni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poremećaji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zbog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kojih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ne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mogu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samostalno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kretati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bez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uporabe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invalidskih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kolica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te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osobama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Downovim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sindromom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19DA5075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(2)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Svojstvo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osiguranika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–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osobe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invaliditetom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stavka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ako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zdravstveno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stanje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uzrokuje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trajne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posljedice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život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utvrđuje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rješenjem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Hrvatskog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zavoda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mirovinsko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(u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daljnjem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tekstu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: Zavod)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temelju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nalaza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mišljenja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Zavoda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vještačenje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profesionalnu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rehabilitaciju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zapošljavanje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osoba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invaliditetom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prema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odredbama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općeg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propisa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o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mirovinskom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lastRenderedPageBreak/>
        <w:t>osiguranju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zahtjev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osiguranika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–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osobe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invaliditetom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674D5785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(3)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Osiguranicima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–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osobama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invaliditetom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stavka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svakih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12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15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1D236571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>III. SNIŽAVANJE DOBNE GRANICE ZA STJECANJE PRAVA NA STAROSNU MIROVINU</w:t>
      </w:r>
    </w:p>
    <w:p w14:paraId="71F77338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proofErr w:type="spellStart"/>
      <w:r w:rsidRPr="00A06CC6">
        <w:rPr>
          <w:rFonts w:cstheme="minorHAnsi"/>
          <w:sz w:val="20"/>
          <w:szCs w:val="20"/>
          <w:lang w:val="it-IT"/>
        </w:rPr>
        <w:t>Članak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27.</w:t>
      </w:r>
    </w:p>
    <w:p w14:paraId="3D0C1D03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(1)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Snižavanje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dobne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granice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stjecanje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prava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starosnu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mirovinu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ovisi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o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dužini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razdoblja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povećanim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trajanjem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stupnju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povećanja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14C1C4B3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(2)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Osiguranicima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točaka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1. i 2.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Zakona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osiguranicima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kojima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povećanim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trajanjem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prema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posebnim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propisima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ako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posebnim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propisom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nije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uređeno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sniženje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dobne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granice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snižava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dobna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granica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stjecanje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prava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starosnu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mirovinu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33.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180.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Zakona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o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mirovinskom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(»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Narodne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proofErr w:type="gramStart"/>
      <w:r w:rsidRPr="00A06CC6">
        <w:rPr>
          <w:rFonts w:cstheme="minorHAnsi"/>
          <w:sz w:val="20"/>
          <w:szCs w:val="20"/>
          <w:lang w:val="it-IT"/>
        </w:rPr>
        <w:t>novine</w:t>
      </w:r>
      <w:proofErr w:type="spellEnd"/>
      <w:r w:rsidRPr="00A06CC6">
        <w:rPr>
          <w:rFonts w:cstheme="minorHAnsi"/>
          <w:sz w:val="20"/>
          <w:szCs w:val="20"/>
          <w:lang w:val="it-IT"/>
        </w:rPr>
        <w:t>«</w:t>
      </w:r>
      <w:proofErr w:type="gram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br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. 157/13., 33/15., 120/16., 18/18. –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Odluka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Ustavnog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suda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Republike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Hrvatske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62/18.), i to:</w:t>
      </w:r>
    </w:p>
    <w:p w14:paraId="68A3BAE0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jednu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godinu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svakih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šest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godina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za radna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odnosno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zanimanja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kojima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12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14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</w:p>
    <w:p w14:paraId="6C4517E3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2.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jednu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godinu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svakih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pet </w:t>
      </w:r>
      <w:proofErr w:type="spellStart"/>
      <w:r w:rsidRPr="00A06CC6">
        <w:rPr>
          <w:rFonts w:cstheme="minorHAnsi"/>
          <w:sz w:val="20"/>
          <w:szCs w:val="20"/>
          <w:lang w:val="it-IT"/>
        </w:rPr>
        <w:t>godina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za radna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odnosno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zanimanja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kojima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12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15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</w:p>
    <w:p w14:paraId="31B24A9D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3.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jednu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godinu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svake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četiri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godine za radna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odnosno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zanimanja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kojima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12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16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</w:p>
    <w:p w14:paraId="1FE53949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4.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jednu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godinu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svake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tri godine za radna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odnosno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zanimanja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kojima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12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18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37D36D9A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(3)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Osiguranicima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–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osobama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invaliditetom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točke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3.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Zakona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snižava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dobna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granica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stjecanje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prava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starosnu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mirovinu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33.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180.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Zakona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o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mirovinskom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(»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Narodne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proofErr w:type="gramStart"/>
      <w:r w:rsidRPr="00A06CC6">
        <w:rPr>
          <w:rFonts w:cstheme="minorHAnsi"/>
          <w:sz w:val="20"/>
          <w:szCs w:val="20"/>
          <w:lang w:val="it-IT"/>
        </w:rPr>
        <w:t>novine</w:t>
      </w:r>
      <w:proofErr w:type="spellEnd"/>
      <w:r w:rsidRPr="00A06CC6">
        <w:rPr>
          <w:rFonts w:cstheme="minorHAnsi"/>
          <w:sz w:val="20"/>
          <w:szCs w:val="20"/>
          <w:lang w:val="it-IT"/>
        </w:rPr>
        <w:t>«</w:t>
      </w:r>
      <w:proofErr w:type="gram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br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. 157/13., 33/15., 120/16., 18/18. –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Odluka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Ustavnog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suda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Republike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Hrvatske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62/18.)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jednu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godinu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svakih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pet </w:t>
      </w:r>
      <w:proofErr w:type="spellStart"/>
      <w:r w:rsidRPr="00A06CC6">
        <w:rPr>
          <w:rFonts w:cstheme="minorHAnsi"/>
          <w:sz w:val="20"/>
          <w:szCs w:val="20"/>
          <w:lang w:val="it-IT"/>
        </w:rPr>
        <w:t>godina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provedenih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12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15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mjeseci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45207CBE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(4)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Osiguranicima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točaka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1. i 2.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Zakona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osiguranicima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kojima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povećanim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trajanjem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prema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posebnim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propisima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koji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ostvarili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povećanim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trajanjem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različitim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stupnjevima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povećanja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dobna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granica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stjecanje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prava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starosnu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mirovinu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prema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33.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odnosno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180.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Zakona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o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mirovinskom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(»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Narodne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proofErr w:type="gramStart"/>
      <w:r w:rsidRPr="00A06CC6">
        <w:rPr>
          <w:rFonts w:cstheme="minorHAnsi"/>
          <w:sz w:val="20"/>
          <w:szCs w:val="20"/>
          <w:lang w:val="it-IT"/>
        </w:rPr>
        <w:t>novine</w:t>
      </w:r>
      <w:proofErr w:type="spellEnd"/>
      <w:r w:rsidRPr="00A06CC6">
        <w:rPr>
          <w:rFonts w:cstheme="minorHAnsi"/>
          <w:sz w:val="20"/>
          <w:szCs w:val="20"/>
          <w:lang w:val="it-IT"/>
        </w:rPr>
        <w:t>«</w:t>
      </w:r>
      <w:proofErr w:type="gram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br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. 157/13., 33/15., 120/16., 18/18. –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Odluka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Ustavnog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suda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Republike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Hrvatske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62/18.)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snižava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prema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stavku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2.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a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preostalo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razdoblje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provedeno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gramStart"/>
      <w:r w:rsidRPr="00A06CC6">
        <w:rPr>
          <w:rFonts w:cstheme="minorHAnsi"/>
          <w:sz w:val="20"/>
          <w:szCs w:val="20"/>
          <w:lang w:val="it-IT"/>
        </w:rPr>
        <w:t>i u</w:t>
      </w:r>
      <w:proofErr w:type="gram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zanimanjima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članaka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5. – 24.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Zakona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dobna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granica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nije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snižena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prema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pojedinom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stupnju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povećanja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osiguraniku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dobna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granica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snižava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prema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najnižem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stupnju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povećanja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koji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je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pojedini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osiguranik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ostvario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skladu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stavkom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2.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0A5E7006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(5)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Ako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osiguranik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točaka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1. i 2.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Zakona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osiguranik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kojemu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povećanim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trajanjem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prema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posebnim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propisima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ne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ispunjava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uvjete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stavka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2.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sniženje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dobne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granice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prema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pojedinom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stupnju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povećanja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radeći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poslovima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gramStart"/>
      <w:r w:rsidRPr="00A06CC6">
        <w:rPr>
          <w:rFonts w:cstheme="minorHAnsi"/>
          <w:sz w:val="20"/>
          <w:szCs w:val="20"/>
          <w:lang w:val="it-IT"/>
        </w:rPr>
        <w:t>i u</w:t>
      </w:r>
      <w:proofErr w:type="gram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zanimanjima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različitim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stupnjem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povećanja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ispunjava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potreban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broj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punih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godina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efektivno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provedenih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poslovima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sniženje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starosne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granice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najnižim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stupnjem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povećanja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dobna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granica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stjecanje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prava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starosnu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mirovinu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33.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180.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Zakona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o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mirovinskom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(»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Narodne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proofErr w:type="gramStart"/>
      <w:r w:rsidRPr="00A06CC6">
        <w:rPr>
          <w:rFonts w:cstheme="minorHAnsi"/>
          <w:sz w:val="20"/>
          <w:szCs w:val="20"/>
          <w:lang w:val="it-IT"/>
        </w:rPr>
        <w:t>novine</w:t>
      </w:r>
      <w:proofErr w:type="spellEnd"/>
      <w:r w:rsidRPr="00A06CC6">
        <w:rPr>
          <w:rFonts w:cstheme="minorHAnsi"/>
          <w:sz w:val="20"/>
          <w:szCs w:val="20"/>
          <w:lang w:val="it-IT"/>
        </w:rPr>
        <w:t>«</w:t>
      </w:r>
      <w:proofErr w:type="gram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br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. 157/13., 33/15., 120/16., 18/18. –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Odluka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Ustavnog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suda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Republike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Hrvatske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62/18.)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određuje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snižavanjem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dobne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granice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prema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najnižem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stupnju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povećanja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koji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je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osiguranik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razdoblju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ostvario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skladu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stavkom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2.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63FC5857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>IV. POSTUPAK I EVIDENCIJE</w:t>
      </w:r>
    </w:p>
    <w:p w14:paraId="62D5EA5A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proofErr w:type="spellStart"/>
      <w:r w:rsidRPr="00A06CC6">
        <w:rPr>
          <w:rFonts w:cstheme="minorHAnsi"/>
          <w:sz w:val="20"/>
          <w:szCs w:val="20"/>
          <w:lang w:val="it-IT"/>
        </w:rPr>
        <w:t>Članak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28.</w:t>
      </w:r>
    </w:p>
    <w:p w14:paraId="438C7C5A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postupku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rješavanja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o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pravima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osiguranika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Zakona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primjenjuju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odredbe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općeg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propisa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o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mirovinskom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ako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Zakonom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nije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drukčije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određeno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7F8B539F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proofErr w:type="spellStart"/>
      <w:r w:rsidRPr="00A06CC6">
        <w:rPr>
          <w:rFonts w:cstheme="minorHAnsi"/>
          <w:sz w:val="20"/>
          <w:szCs w:val="20"/>
          <w:lang w:val="it-IT"/>
        </w:rPr>
        <w:t>Članak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29.</w:t>
      </w:r>
    </w:p>
    <w:p w14:paraId="1F13ED2E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(1)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Evidenciju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o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odnosno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zanimanjima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kojima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povećanim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trajanjem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evidenciju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o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osiguranicima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kojima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povećanim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trajanjem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vodi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Zavod,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način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postupku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propisanom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općim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aktom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toga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Zavoda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5A7EBF46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lastRenderedPageBreak/>
        <w:t xml:space="preserve">(2)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Poslodavac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je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dužan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inspektoru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ili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državnom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službeniku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nadležnom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skladu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posebnim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propisom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omogućiti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uvid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dokumentaciju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radi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provjere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podataka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o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osiguranicima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odnosno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zanimanjima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kojima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povećanim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trajanjem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te o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osiguranicima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–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osobama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invaliditetom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26.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Zakona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4B7CB7CC" w14:textId="05FC6ECA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(3)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Poslodavac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je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dužan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prijaviti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Zavodu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početak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promjenu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prestanak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rada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osiguranika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koji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rade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članaka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5. – 23.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Zakona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gramStart"/>
      <w:r w:rsidRPr="00A06CC6">
        <w:rPr>
          <w:rFonts w:cstheme="minorHAnsi"/>
          <w:sz w:val="20"/>
          <w:szCs w:val="20"/>
          <w:lang w:val="it-IT"/>
        </w:rPr>
        <w:t>i u</w:t>
      </w:r>
      <w:proofErr w:type="gram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zanimanjima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24.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Zakona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osiguranika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–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osobe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invaliditetom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26.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Zakona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rokovima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propisanima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općim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propisom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o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mirovinskom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osiguranju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4032EB56" w14:textId="30A0429B" w:rsidR="00C50DB8" w:rsidRPr="00A06CC6" w:rsidRDefault="00C50DB8" w:rsidP="00E8022F">
      <w:pPr>
        <w:spacing w:line="240" w:lineRule="auto"/>
        <w:jc w:val="both"/>
        <w:rPr>
          <w:rFonts w:cstheme="minorHAnsi"/>
          <w:b/>
          <w:bCs/>
          <w:sz w:val="20"/>
          <w:szCs w:val="20"/>
          <w:lang w:val="it-IT"/>
        </w:rPr>
      </w:pPr>
      <w:r w:rsidRPr="00A06CC6">
        <w:rPr>
          <w:rFonts w:cstheme="minorHAnsi"/>
          <w:b/>
          <w:bCs/>
          <w:sz w:val="20"/>
          <w:szCs w:val="20"/>
          <w:lang w:val="it-IT"/>
        </w:rPr>
        <w:t xml:space="preserve">(4)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Obveznici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podnošenja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prijava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za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vođenje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matične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evidencije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propisanih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općim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aktom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Zavoda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za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osiguranike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3.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stavka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5. i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3.a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Zakona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dužni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su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prijaviti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Zavodu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podatak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o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utvrđenom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statusu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osiguranika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–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osobe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invaliditetom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26.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Zakona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sve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promjene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u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rokovima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propisanim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općim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propisom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o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mirovinskom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b/>
          <w:bCs/>
          <w:sz w:val="20"/>
          <w:szCs w:val="20"/>
          <w:lang w:val="it-IT"/>
        </w:rPr>
        <w:t>osiguranju</w:t>
      </w:r>
      <w:proofErr w:type="spellEnd"/>
      <w:r w:rsidRPr="00A06CC6">
        <w:rPr>
          <w:rFonts w:cstheme="minorHAnsi"/>
          <w:b/>
          <w:bCs/>
          <w:sz w:val="20"/>
          <w:szCs w:val="20"/>
          <w:lang w:val="it-IT"/>
        </w:rPr>
        <w:t>.</w:t>
      </w:r>
    </w:p>
    <w:p w14:paraId="0AA3DF02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>V. NADZOR</w:t>
      </w:r>
    </w:p>
    <w:p w14:paraId="4BAF17A8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proofErr w:type="spellStart"/>
      <w:r w:rsidRPr="00A06CC6">
        <w:rPr>
          <w:rFonts w:cstheme="minorHAnsi"/>
          <w:sz w:val="20"/>
          <w:szCs w:val="20"/>
          <w:lang w:val="it-IT"/>
        </w:rPr>
        <w:t>Članak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30.</w:t>
      </w:r>
    </w:p>
    <w:p w14:paraId="172B7042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(1)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Upravni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nadzor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nad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primjenom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Zakona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provodi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ministarstvo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nadležno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mirovinski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sustav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787E60DA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(2)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Inspekcijski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nadzor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nad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primjenom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odredbi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Zakona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odnose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obvezu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prijave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početka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rada,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promjena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odnosno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prestanka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rada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osiguranika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odnosno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zanimanjima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kojima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povećanim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trajanjem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obavljaju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inspektori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drugi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ovlašteni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državni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službenici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tijela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državne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uprave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svaki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okviru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svoje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nadležnosti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sukladno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posebnim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propisima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235672F9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>VI. PREKRŠAJNE ODREDBE</w:t>
      </w:r>
    </w:p>
    <w:p w14:paraId="468583F6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proofErr w:type="spellStart"/>
      <w:r w:rsidRPr="00A06CC6">
        <w:rPr>
          <w:rFonts w:cstheme="minorHAnsi"/>
          <w:sz w:val="20"/>
          <w:szCs w:val="20"/>
          <w:lang w:val="it-IT"/>
        </w:rPr>
        <w:t>Članak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31.</w:t>
      </w:r>
    </w:p>
    <w:p w14:paraId="0B24557A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(1)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Poslodavac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pravna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osoba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kaznit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će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prekršaj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novčanom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kaznom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iznosu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gramStart"/>
      <w:r w:rsidRPr="00A06CC6">
        <w:rPr>
          <w:rFonts w:cstheme="minorHAnsi"/>
          <w:sz w:val="20"/>
          <w:szCs w:val="20"/>
          <w:lang w:val="it-IT"/>
        </w:rPr>
        <w:t>od</w:t>
      </w:r>
      <w:proofErr w:type="gramEnd"/>
      <w:r w:rsidRPr="00A06CC6">
        <w:rPr>
          <w:rFonts w:cstheme="minorHAnsi"/>
          <w:sz w:val="20"/>
          <w:szCs w:val="20"/>
          <w:lang w:val="it-IT"/>
        </w:rPr>
        <w:t xml:space="preserve"> 5000,00 do 50.000,00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kuna</w:t>
      </w:r>
      <w:proofErr w:type="spellEnd"/>
      <w:r w:rsidRPr="00A06CC6">
        <w:rPr>
          <w:rFonts w:cstheme="minorHAnsi"/>
          <w:sz w:val="20"/>
          <w:szCs w:val="20"/>
          <w:lang w:val="it-IT"/>
        </w:rPr>
        <w:t>, i to:</w:t>
      </w:r>
    </w:p>
    <w:p w14:paraId="0BEFEC62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ako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ne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omogući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uvid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dokumentaciju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radi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provjere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podataka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o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osiguranicima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odnosno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zanimanjima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kojima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povećanim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trajanjem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(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članak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29.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stavak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2.)</w:t>
      </w:r>
    </w:p>
    <w:p w14:paraId="0E4C34E3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2.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ako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ne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prijavi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početak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promjenu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odnosno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prestanak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rada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osiguranika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radnim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mjestima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odnosno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zanimanjima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kojima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povećanim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trajanjem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odnosno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osiguranika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–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osobe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invaliditetom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točke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3.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Zakona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propisanim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rokovima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(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članak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29.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stavak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3.).</w:t>
      </w:r>
    </w:p>
    <w:p w14:paraId="1C958E4E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(2)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Novčanom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kaznom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iznosu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gramStart"/>
      <w:r w:rsidRPr="00A06CC6">
        <w:rPr>
          <w:rFonts w:cstheme="minorHAnsi"/>
          <w:sz w:val="20"/>
          <w:szCs w:val="20"/>
          <w:lang w:val="it-IT"/>
        </w:rPr>
        <w:t>od</w:t>
      </w:r>
      <w:proofErr w:type="gramEnd"/>
      <w:r w:rsidRPr="00A06CC6">
        <w:rPr>
          <w:rFonts w:cstheme="minorHAnsi"/>
          <w:sz w:val="20"/>
          <w:szCs w:val="20"/>
          <w:lang w:val="it-IT"/>
        </w:rPr>
        <w:t xml:space="preserve"> 5000,00 do 50.000,00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prekršaj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stavka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kaznit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će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poslodavac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fizička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osoba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308115C3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(3)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prekršaj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stavka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kaznit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će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odgovorna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osoba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kod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poslodavca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pravne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osobe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novčanom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kaznom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iznosu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gramStart"/>
      <w:r w:rsidRPr="00A06CC6">
        <w:rPr>
          <w:rFonts w:cstheme="minorHAnsi"/>
          <w:sz w:val="20"/>
          <w:szCs w:val="20"/>
          <w:lang w:val="it-IT"/>
        </w:rPr>
        <w:t>od</w:t>
      </w:r>
      <w:proofErr w:type="gramEnd"/>
      <w:r w:rsidRPr="00A06CC6">
        <w:rPr>
          <w:rFonts w:cstheme="minorHAnsi"/>
          <w:sz w:val="20"/>
          <w:szCs w:val="20"/>
          <w:lang w:val="it-IT"/>
        </w:rPr>
        <w:t xml:space="preserve"> 1000,00 do 10.000,00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kuna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632CA1FE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>VII. PRIJELAZNE I ZAVRŠNE ODREDBE</w:t>
      </w:r>
    </w:p>
    <w:p w14:paraId="424F8A67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proofErr w:type="spellStart"/>
      <w:r w:rsidRPr="00A06CC6">
        <w:rPr>
          <w:rFonts w:cstheme="minorHAnsi"/>
          <w:sz w:val="20"/>
          <w:szCs w:val="20"/>
          <w:lang w:val="it-IT"/>
        </w:rPr>
        <w:t>Članak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32.</w:t>
      </w:r>
    </w:p>
    <w:p w14:paraId="007D784C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(1)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snižavanje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dobne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granice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stjecanje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prava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starosnu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mirovinu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prema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27.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Zakona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uzima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obzir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povećanim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trajanjem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navršen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prema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propisima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koji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važili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do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dana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stupanja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snagu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Zakona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687CBE25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(2)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Osiguranicima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kojima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prema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posebnom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zakonu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računa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povećanim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trajanjem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zakonom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nije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uređeno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snižavanje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dobne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granice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dobna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granica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stjecanje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prava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starosnu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mirovinu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snižava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prema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27.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Zakona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stavku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149776AC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proofErr w:type="spellStart"/>
      <w:r w:rsidRPr="00A06CC6">
        <w:rPr>
          <w:rFonts w:cstheme="minorHAnsi"/>
          <w:sz w:val="20"/>
          <w:szCs w:val="20"/>
          <w:lang w:val="it-IT"/>
        </w:rPr>
        <w:t>Članak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33.</w:t>
      </w:r>
    </w:p>
    <w:p w14:paraId="11B072A3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(1)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Pravilnik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25.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stavka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5.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Zakona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donijet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će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ministar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nadležan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za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mirovinski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sustav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u </w:t>
      </w:r>
      <w:proofErr w:type="spellStart"/>
      <w:r w:rsidRPr="00A06CC6">
        <w:rPr>
          <w:rFonts w:cstheme="minorHAnsi"/>
          <w:sz w:val="20"/>
          <w:szCs w:val="20"/>
          <w:lang w:val="it-IT"/>
        </w:rPr>
        <w:t>roku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gramStart"/>
      <w:r w:rsidRPr="00A06CC6">
        <w:rPr>
          <w:rFonts w:cstheme="minorHAnsi"/>
          <w:sz w:val="20"/>
          <w:szCs w:val="20"/>
          <w:lang w:val="it-IT"/>
        </w:rPr>
        <w:t>od</w:t>
      </w:r>
      <w:proofErr w:type="gramEnd"/>
      <w:r w:rsidRPr="00A06CC6">
        <w:rPr>
          <w:rFonts w:cstheme="minorHAnsi"/>
          <w:sz w:val="20"/>
          <w:szCs w:val="20"/>
          <w:lang w:val="it-IT"/>
        </w:rPr>
        <w:t xml:space="preserve"> 60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dana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od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dana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stupanja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snagu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Zakona</w:t>
      </w:r>
      <w:proofErr w:type="spellEnd"/>
      <w:r w:rsidRPr="00A06CC6">
        <w:rPr>
          <w:rFonts w:cstheme="minorHAnsi"/>
          <w:sz w:val="20"/>
          <w:szCs w:val="20"/>
          <w:lang w:val="it-IT"/>
        </w:rPr>
        <w:t>.</w:t>
      </w:r>
    </w:p>
    <w:p w14:paraId="392A9C00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 xml:space="preserve">(2) Do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stupanja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snagu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pravilnika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članka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25.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stavka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5.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Zakona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primjenjuje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Pravilnik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o </w:t>
      </w:r>
      <w:proofErr w:type="spellStart"/>
      <w:r w:rsidRPr="00A06CC6">
        <w:rPr>
          <w:rFonts w:cstheme="minorHAnsi"/>
          <w:sz w:val="20"/>
          <w:szCs w:val="20"/>
          <w:lang w:val="it-IT"/>
        </w:rPr>
        <w:t>metodologiji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izrade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stručne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dokumentacije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radi </w:t>
      </w:r>
      <w:proofErr w:type="spellStart"/>
      <w:r w:rsidRPr="00A06CC6">
        <w:rPr>
          <w:rFonts w:cstheme="minorHAnsi"/>
          <w:sz w:val="20"/>
          <w:szCs w:val="20"/>
          <w:lang w:val="it-IT"/>
        </w:rPr>
        <w:t>utvrđivanja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povećanim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trajanjem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(»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Narodne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proofErr w:type="gramStart"/>
      <w:r w:rsidRPr="00A06CC6">
        <w:rPr>
          <w:rFonts w:cstheme="minorHAnsi"/>
          <w:sz w:val="20"/>
          <w:szCs w:val="20"/>
          <w:lang w:val="it-IT"/>
        </w:rPr>
        <w:t>novine</w:t>
      </w:r>
      <w:proofErr w:type="spellEnd"/>
      <w:r w:rsidRPr="00A06CC6">
        <w:rPr>
          <w:rFonts w:cstheme="minorHAnsi"/>
          <w:sz w:val="20"/>
          <w:szCs w:val="20"/>
          <w:lang w:val="it-IT"/>
        </w:rPr>
        <w:t>«</w:t>
      </w:r>
      <w:proofErr w:type="gram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br</w:t>
      </w:r>
      <w:proofErr w:type="spellEnd"/>
      <w:r w:rsidRPr="00A06CC6">
        <w:rPr>
          <w:rFonts w:cstheme="minorHAnsi"/>
          <w:sz w:val="20"/>
          <w:szCs w:val="20"/>
          <w:lang w:val="it-IT"/>
        </w:rPr>
        <w:t>. 45/00.).</w:t>
      </w:r>
    </w:p>
    <w:p w14:paraId="32AF7C19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proofErr w:type="spellStart"/>
      <w:r w:rsidRPr="00A06CC6">
        <w:rPr>
          <w:rFonts w:cstheme="minorHAnsi"/>
          <w:sz w:val="20"/>
          <w:szCs w:val="20"/>
          <w:lang w:val="it-IT"/>
        </w:rPr>
        <w:t>Članak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34.</w:t>
      </w:r>
    </w:p>
    <w:p w14:paraId="1138AB98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proofErr w:type="spellStart"/>
      <w:r w:rsidRPr="00A06CC6">
        <w:rPr>
          <w:rFonts w:cstheme="minorHAnsi"/>
          <w:sz w:val="20"/>
          <w:szCs w:val="20"/>
          <w:lang w:val="it-IT"/>
        </w:rPr>
        <w:t>Danom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stupanja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snagu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ovoga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Zakona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prestaje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važiti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Zakon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o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stažu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povećanim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trajanjem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(»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Narodne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proofErr w:type="gramStart"/>
      <w:r w:rsidRPr="00A06CC6">
        <w:rPr>
          <w:rFonts w:cstheme="minorHAnsi"/>
          <w:sz w:val="20"/>
          <w:szCs w:val="20"/>
          <w:lang w:val="it-IT"/>
        </w:rPr>
        <w:t>novine</w:t>
      </w:r>
      <w:proofErr w:type="spellEnd"/>
      <w:r w:rsidRPr="00A06CC6">
        <w:rPr>
          <w:rFonts w:cstheme="minorHAnsi"/>
          <w:sz w:val="20"/>
          <w:szCs w:val="20"/>
          <w:lang w:val="it-IT"/>
        </w:rPr>
        <w:t>«</w:t>
      </w:r>
      <w:proofErr w:type="gramEnd"/>
      <w:r w:rsidRPr="00A06CC6">
        <w:rPr>
          <w:rFonts w:cstheme="minorHAnsi"/>
          <w:sz w:val="20"/>
          <w:szCs w:val="20"/>
          <w:lang w:val="it-IT"/>
        </w:rPr>
        <w:t xml:space="preserve">, </w:t>
      </w:r>
      <w:proofErr w:type="spellStart"/>
      <w:r w:rsidRPr="00A06CC6">
        <w:rPr>
          <w:rFonts w:cstheme="minorHAnsi"/>
          <w:sz w:val="20"/>
          <w:szCs w:val="20"/>
          <w:lang w:val="it-IT"/>
        </w:rPr>
        <w:t>br</w:t>
      </w:r>
      <w:proofErr w:type="spellEnd"/>
      <w:r w:rsidRPr="00A06CC6">
        <w:rPr>
          <w:rFonts w:cstheme="minorHAnsi"/>
          <w:sz w:val="20"/>
          <w:szCs w:val="20"/>
          <w:lang w:val="it-IT"/>
        </w:rPr>
        <w:t>. 71/99., 46/07., 41/08. i 61/11.).</w:t>
      </w:r>
    </w:p>
    <w:p w14:paraId="461B97E5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proofErr w:type="spellStart"/>
      <w:r w:rsidRPr="00A06CC6">
        <w:rPr>
          <w:rFonts w:cstheme="minorHAnsi"/>
          <w:sz w:val="20"/>
          <w:szCs w:val="20"/>
          <w:lang w:val="it-IT"/>
        </w:rPr>
        <w:t>Članak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35.</w:t>
      </w:r>
    </w:p>
    <w:p w14:paraId="2B9F1671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proofErr w:type="spellStart"/>
      <w:r w:rsidRPr="00A06CC6">
        <w:rPr>
          <w:rFonts w:cstheme="minorHAnsi"/>
          <w:sz w:val="20"/>
          <w:szCs w:val="20"/>
          <w:lang w:val="it-IT"/>
        </w:rPr>
        <w:t>Ovaj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Zakon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objavit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će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se </w:t>
      </w:r>
      <w:proofErr w:type="gramStart"/>
      <w:r w:rsidRPr="00A06CC6">
        <w:rPr>
          <w:rFonts w:cstheme="minorHAnsi"/>
          <w:sz w:val="20"/>
          <w:szCs w:val="20"/>
          <w:lang w:val="it-IT"/>
        </w:rPr>
        <w:t>u »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Narodnim</w:t>
      </w:r>
      <w:proofErr w:type="spellEnd"/>
      <w:proofErr w:type="gram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novinama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«, a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stupa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snagu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1.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siječnja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2019.</w:t>
      </w:r>
    </w:p>
    <w:p w14:paraId="112CB642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proofErr w:type="spellStart"/>
      <w:r w:rsidRPr="00A06CC6">
        <w:rPr>
          <w:rFonts w:cstheme="minorHAnsi"/>
          <w:sz w:val="20"/>
          <w:szCs w:val="20"/>
          <w:lang w:val="it-IT"/>
        </w:rPr>
        <w:t>Klasa</w:t>
      </w:r>
      <w:proofErr w:type="spellEnd"/>
      <w:r w:rsidRPr="00A06CC6">
        <w:rPr>
          <w:rFonts w:cstheme="minorHAnsi"/>
          <w:sz w:val="20"/>
          <w:szCs w:val="20"/>
          <w:lang w:val="it-IT"/>
        </w:rPr>
        <w:t>: 022-03/18-01/169</w:t>
      </w:r>
    </w:p>
    <w:p w14:paraId="7B58C735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lastRenderedPageBreak/>
        <w:t xml:space="preserve">Zagreb, 7. </w:t>
      </w:r>
      <w:proofErr w:type="spellStart"/>
      <w:r w:rsidRPr="00A06CC6">
        <w:rPr>
          <w:rFonts w:cstheme="minorHAnsi"/>
          <w:sz w:val="20"/>
          <w:szCs w:val="20"/>
          <w:lang w:val="it-IT"/>
        </w:rPr>
        <w:t>prosinca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2018.</w:t>
      </w:r>
    </w:p>
    <w:p w14:paraId="17DF362A" w14:textId="77777777" w:rsidR="008845AB" w:rsidRPr="00A06CC6" w:rsidRDefault="008845AB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  <w:r w:rsidRPr="00A06CC6">
        <w:rPr>
          <w:rFonts w:cstheme="minorHAnsi"/>
          <w:sz w:val="20"/>
          <w:szCs w:val="20"/>
          <w:lang w:val="it-IT"/>
        </w:rPr>
        <w:t>HRVATSKI SABOR</w:t>
      </w:r>
    </w:p>
    <w:p w14:paraId="692DB11D" w14:textId="24FE2221" w:rsidR="008845AB" w:rsidRPr="00A06CC6" w:rsidRDefault="008845AB" w:rsidP="00A06CC6">
      <w:pPr>
        <w:pBdr>
          <w:bottom w:val="single" w:sz="12" w:space="1" w:color="auto"/>
        </w:pBdr>
        <w:spacing w:line="240" w:lineRule="auto"/>
        <w:rPr>
          <w:rFonts w:cstheme="minorHAnsi"/>
          <w:sz w:val="20"/>
          <w:szCs w:val="20"/>
          <w:lang w:val="it-IT"/>
        </w:rPr>
      </w:pPr>
      <w:proofErr w:type="spellStart"/>
      <w:r w:rsidRPr="00A06CC6">
        <w:rPr>
          <w:rFonts w:cstheme="minorHAnsi"/>
          <w:sz w:val="20"/>
          <w:szCs w:val="20"/>
          <w:lang w:val="it-IT"/>
        </w:rPr>
        <w:t>Predsjednik</w:t>
      </w:r>
      <w:proofErr w:type="spellEnd"/>
      <w:r w:rsidRPr="00A06CC6">
        <w:rPr>
          <w:rFonts w:cstheme="minorHAnsi"/>
          <w:sz w:val="20"/>
          <w:szCs w:val="20"/>
          <w:lang w:val="it-IT"/>
        </w:rPr>
        <w:br/>
      </w:r>
      <w:proofErr w:type="spellStart"/>
      <w:r w:rsidRPr="00A06CC6">
        <w:rPr>
          <w:rFonts w:cstheme="minorHAnsi"/>
          <w:sz w:val="20"/>
          <w:szCs w:val="20"/>
          <w:lang w:val="it-IT"/>
        </w:rPr>
        <w:t>Hrvatskoga</w:t>
      </w:r>
      <w:proofErr w:type="spellEnd"/>
      <w:r w:rsidRPr="00A06CC6">
        <w:rPr>
          <w:rFonts w:cstheme="minorHAnsi"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sz w:val="20"/>
          <w:szCs w:val="20"/>
          <w:lang w:val="it-IT"/>
        </w:rPr>
        <w:t>sabora</w:t>
      </w:r>
      <w:proofErr w:type="spellEnd"/>
      <w:r w:rsidRPr="00A06CC6">
        <w:rPr>
          <w:rFonts w:cstheme="minorHAnsi"/>
          <w:sz w:val="20"/>
          <w:szCs w:val="20"/>
          <w:lang w:val="it-IT"/>
        </w:rPr>
        <w:br/>
        <w:t xml:space="preserve">Gordan </w:t>
      </w:r>
      <w:proofErr w:type="spellStart"/>
      <w:r w:rsidRPr="00A06CC6">
        <w:rPr>
          <w:rFonts w:cstheme="minorHAnsi"/>
          <w:sz w:val="20"/>
          <w:szCs w:val="20"/>
          <w:lang w:val="it-IT"/>
        </w:rPr>
        <w:t>Jandroković</w:t>
      </w:r>
      <w:proofErr w:type="spellEnd"/>
      <w:r w:rsidRPr="00A06CC6">
        <w:rPr>
          <w:rFonts w:cstheme="minorHAnsi"/>
          <w:sz w:val="20"/>
          <w:szCs w:val="20"/>
          <w:lang w:val="it-IT"/>
        </w:rPr>
        <w:t>, v. r.</w:t>
      </w:r>
    </w:p>
    <w:p w14:paraId="00442CE2" w14:textId="00524943" w:rsidR="00A06CC6" w:rsidRPr="00A06CC6" w:rsidRDefault="00A06CC6" w:rsidP="00A06CC6">
      <w:pPr>
        <w:spacing w:line="240" w:lineRule="auto"/>
        <w:rPr>
          <w:rFonts w:cstheme="minorHAnsi"/>
          <w:i/>
          <w:iCs/>
          <w:sz w:val="20"/>
          <w:szCs w:val="20"/>
          <w:lang w:val="it-IT"/>
        </w:rPr>
      </w:pPr>
      <w:r w:rsidRPr="00A06CC6">
        <w:rPr>
          <w:rFonts w:cstheme="minorHAnsi"/>
          <w:i/>
          <w:iCs/>
          <w:sz w:val="20"/>
          <w:szCs w:val="20"/>
          <w:lang w:val="it-IT"/>
        </w:rPr>
        <w:t>NN 34/2021 od 2.4.2021.</w:t>
      </w:r>
    </w:p>
    <w:p w14:paraId="44E09E0E" w14:textId="77777777" w:rsidR="00A06CC6" w:rsidRPr="00A06CC6" w:rsidRDefault="00A06CC6" w:rsidP="00A06CC6">
      <w:pPr>
        <w:spacing w:line="240" w:lineRule="auto"/>
        <w:jc w:val="center"/>
        <w:rPr>
          <w:rFonts w:cstheme="minorHAnsi"/>
          <w:i/>
          <w:iCs/>
          <w:sz w:val="20"/>
          <w:szCs w:val="20"/>
          <w:lang w:val="it-IT"/>
        </w:rPr>
      </w:pPr>
    </w:p>
    <w:p w14:paraId="539BCE73" w14:textId="527A9CDD" w:rsidR="00A06CC6" w:rsidRPr="00A06CC6" w:rsidRDefault="00A06CC6" w:rsidP="00A06CC6">
      <w:pPr>
        <w:spacing w:line="240" w:lineRule="auto"/>
        <w:jc w:val="center"/>
        <w:rPr>
          <w:rFonts w:cstheme="minorHAnsi"/>
          <w:i/>
          <w:iCs/>
          <w:sz w:val="20"/>
          <w:szCs w:val="20"/>
          <w:lang w:val="it-IT"/>
        </w:rPr>
      </w:pPr>
      <w:proofErr w:type="spellStart"/>
      <w:r w:rsidRPr="00A06CC6">
        <w:rPr>
          <w:rFonts w:cstheme="minorHAnsi"/>
          <w:i/>
          <w:iCs/>
          <w:sz w:val="20"/>
          <w:szCs w:val="20"/>
          <w:lang w:val="it-IT"/>
        </w:rPr>
        <w:t>Odredbe</w:t>
      </w:r>
      <w:proofErr w:type="spellEnd"/>
      <w:r w:rsidRPr="00A06CC6">
        <w:rPr>
          <w:rFonts w:cstheme="minorHAnsi"/>
          <w:i/>
          <w:iCs/>
          <w:sz w:val="20"/>
          <w:szCs w:val="20"/>
          <w:lang w:val="it-IT"/>
        </w:rPr>
        <w:t xml:space="preserve"> </w:t>
      </w:r>
    </w:p>
    <w:p w14:paraId="333C075D" w14:textId="77777777" w:rsidR="00A06CC6" w:rsidRPr="00A06CC6" w:rsidRDefault="00A06CC6" w:rsidP="00A06CC6">
      <w:pPr>
        <w:spacing w:line="240" w:lineRule="auto"/>
        <w:jc w:val="center"/>
        <w:rPr>
          <w:rFonts w:cstheme="minorHAnsi"/>
          <w:i/>
          <w:iCs/>
          <w:sz w:val="20"/>
          <w:szCs w:val="20"/>
          <w:lang w:val="it-IT"/>
        </w:rPr>
      </w:pPr>
      <w:proofErr w:type="spellStart"/>
      <w:r w:rsidRPr="00A06CC6">
        <w:rPr>
          <w:rFonts w:cstheme="minorHAnsi"/>
          <w:i/>
          <w:iCs/>
          <w:sz w:val="20"/>
          <w:szCs w:val="20"/>
          <w:lang w:val="it-IT"/>
        </w:rPr>
        <w:t>Zakona</w:t>
      </w:r>
      <w:proofErr w:type="spellEnd"/>
      <w:r w:rsidRPr="00A06CC6">
        <w:rPr>
          <w:rFonts w:cstheme="minorHAnsi"/>
          <w:i/>
          <w:iCs/>
          <w:sz w:val="20"/>
          <w:szCs w:val="20"/>
          <w:lang w:val="it-IT"/>
        </w:rPr>
        <w:t xml:space="preserve"> o </w:t>
      </w:r>
      <w:proofErr w:type="spellStart"/>
      <w:r w:rsidRPr="00A06CC6">
        <w:rPr>
          <w:rFonts w:cstheme="minorHAnsi"/>
          <w:i/>
          <w:iCs/>
          <w:sz w:val="20"/>
          <w:szCs w:val="20"/>
          <w:lang w:val="it-IT"/>
        </w:rPr>
        <w:t>dopunama</w:t>
      </w:r>
      <w:proofErr w:type="spellEnd"/>
      <w:r w:rsidRPr="00A06CC6">
        <w:rPr>
          <w:rFonts w:cstheme="minorHAnsi"/>
          <w:i/>
          <w:i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i/>
          <w:iCs/>
          <w:sz w:val="20"/>
          <w:szCs w:val="20"/>
          <w:lang w:val="it-IT"/>
        </w:rPr>
        <w:t>Zakona</w:t>
      </w:r>
      <w:proofErr w:type="spellEnd"/>
      <w:r w:rsidRPr="00A06CC6">
        <w:rPr>
          <w:rFonts w:cstheme="minorHAnsi"/>
          <w:i/>
          <w:iCs/>
          <w:sz w:val="20"/>
          <w:szCs w:val="20"/>
          <w:lang w:val="it-IT"/>
        </w:rPr>
        <w:t xml:space="preserve"> o </w:t>
      </w:r>
      <w:proofErr w:type="spellStart"/>
      <w:r w:rsidRPr="00A06CC6">
        <w:rPr>
          <w:rFonts w:cstheme="minorHAnsi"/>
          <w:i/>
          <w:iCs/>
          <w:sz w:val="20"/>
          <w:szCs w:val="20"/>
          <w:lang w:val="it-IT"/>
        </w:rPr>
        <w:t>stažu</w:t>
      </w:r>
      <w:proofErr w:type="spellEnd"/>
      <w:r w:rsidRPr="00A06CC6">
        <w:rPr>
          <w:rFonts w:cstheme="minorHAnsi"/>
          <w:i/>
          <w:i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i/>
          <w:iCs/>
          <w:sz w:val="20"/>
          <w:szCs w:val="20"/>
          <w:lang w:val="it-IT"/>
        </w:rPr>
        <w:t>osiguranja</w:t>
      </w:r>
      <w:proofErr w:type="spellEnd"/>
      <w:r w:rsidRPr="00A06CC6">
        <w:rPr>
          <w:rFonts w:cstheme="minorHAnsi"/>
          <w:i/>
          <w:iCs/>
          <w:sz w:val="20"/>
          <w:szCs w:val="20"/>
          <w:lang w:val="it-IT"/>
        </w:rPr>
        <w:t xml:space="preserve"> s </w:t>
      </w:r>
      <w:proofErr w:type="spellStart"/>
      <w:r w:rsidRPr="00A06CC6">
        <w:rPr>
          <w:rFonts w:cstheme="minorHAnsi"/>
          <w:i/>
          <w:iCs/>
          <w:sz w:val="20"/>
          <w:szCs w:val="20"/>
          <w:lang w:val="it-IT"/>
        </w:rPr>
        <w:t>povećanim</w:t>
      </w:r>
      <w:proofErr w:type="spellEnd"/>
      <w:r w:rsidRPr="00A06CC6">
        <w:rPr>
          <w:rFonts w:cstheme="minorHAnsi"/>
          <w:i/>
          <w:i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i/>
          <w:iCs/>
          <w:sz w:val="20"/>
          <w:szCs w:val="20"/>
          <w:lang w:val="it-IT"/>
        </w:rPr>
        <w:t>trajanjem</w:t>
      </w:r>
      <w:proofErr w:type="spellEnd"/>
    </w:p>
    <w:p w14:paraId="37A06D6E" w14:textId="30F8ED48" w:rsidR="00A06CC6" w:rsidRPr="00A06CC6" w:rsidRDefault="00A06CC6" w:rsidP="00A06CC6">
      <w:pPr>
        <w:spacing w:line="240" w:lineRule="auto"/>
        <w:jc w:val="center"/>
        <w:rPr>
          <w:rFonts w:cstheme="minorHAnsi"/>
          <w:sz w:val="20"/>
          <w:szCs w:val="20"/>
          <w:lang w:val="it-IT"/>
        </w:rPr>
      </w:pPr>
      <w:proofErr w:type="spellStart"/>
      <w:r w:rsidRPr="00A06CC6">
        <w:rPr>
          <w:rFonts w:cstheme="minorHAnsi"/>
          <w:i/>
          <w:iCs/>
          <w:sz w:val="20"/>
          <w:szCs w:val="20"/>
          <w:lang w:val="it-IT"/>
        </w:rPr>
        <w:t>preostale</w:t>
      </w:r>
      <w:proofErr w:type="spellEnd"/>
      <w:r w:rsidRPr="00A06CC6">
        <w:rPr>
          <w:rFonts w:cstheme="minorHAnsi"/>
          <w:i/>
          <w:i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i/>
          <w:iCs/>
          <w:sz w:val="20"/>
          <w:szCs w:val="20"/>
          <w:lang w:val="it-IT"/>
        </w:rPr>
        <w:t>nakon</w:t>
      </w:r>
      <w:proofErr w:type="spellEnd"/>
      <w:r w:rsidRPr="00A06CC6">
        <w:rPr>
          <w:rFonts w:cstheme="minorHAnsi"/>
          <w:i/>
          <w:i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i/>
          <w:iCs/>
          <w:sz w:val="20"/>
          <w:szCs w:val="20"/>
          <w:lang w:val="it-IT"/>
        </w:rPr>
        <w:t>autorskog</w:t>
      </w:r>
      <w:proofErr w:type="spellEnd"/>
      <w:r w:rsidRPr="00A06CC6">
        <w:rPr>
          <w:rFonts w:cstheme="minorHAnsi"/>
          <w:i/>
          <w:i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i/>
          <w:iCs/>
          <w:sz w:val="20"/>
          <w:szCs w:val="20"/>
          <w:lang w:val="it-IT"/>
        </w:rPr>
        <w:t>pročišćavanja</w:t>
      </w:r>
      <w:proofErr w:type="spellEnd"/>
      <w:r w:rsidRPr="00A06CC6">
        <w:rPr>
          <w:rFonts w:cstheme="minorHAnsi"/>
          <w:i/>
          <w:i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i/>
          <w:iCs/>
          <w:sz w:val="20"/>
          <w:szCs w:val="20"/>
          <w:lang w:val="it-IT"/>
        </w:rPr>
        <w:t>teksat</w:t>
      </w:r>
      <w:proofErr w:type="spellEnd"/>
      <w:r w:rsidRPr="00A06CC6">
        <w:rPr>
          <w:rFonts w:cstheme="minorHAnsi"/>
          <w:i/>
          <w:iCs/>
          <w:sz w:val="20"/>
          <w:szCs w:val="20"/>
          <w:lang w:val="it-IT"/>
        </w:rPr>
        <w:t xml:space="preserve"> (NN 34/2021</w:t>
      </w:r>
      <w:r w:rsidRPr="00A06CC6">
        <w:rPr>
          <w:rFonts w:cstheme="minorHAnsi"/>
          <w:sz w:val="20"/>
          <w:szCs w:val="20"/>
          <w:lang w:val="it-IT"/>
        </w:rPr>
        <w:t>)</w:t>
      </w:r>
    </w:p>
    <w:p w14:paraId="18F086CB" w14:textId="6FD14B5B" w:rsidR="0083778A" w:rsidRPr="00A06CC6" w:rsidRDefault="0083778A" w:rsidP="00E8022F">
      <w:pPr>
        <w:spacing w:line="240" w:lineRule="auto"/>
        <w:jc w:val="both"/>
        <w:rPr>
          <w:rFonts w:cstheme="minorHAnsi"/>
          <w:sz w:val="20"/>
          <w:szCs w:val="20"/>
          <w:lang w:val="it-IT"/>
        </w:rPr>
      </w:pPr>
    </w:p>
    <w:p w14:paraId="6FB91B23" w14:textId="77777777" w:rsidR="00A06CC6" w:rsidRPr="00A06CC6" w:rsidRDefault="00A06CC6" w:rsidP="00A06CC6">
      <w:pPr>
        <w:spacing w:line="240" w:lineRule="auto"/>
        <w:jc w:val="both"/>
        <w:rPr>
          <w:rFonts w:cstheme="minorHAnsi"/>
          <w:i/>
          <w:iCs/>
          <w:sz w:val="20"/>
          <w:szCs w:val="20"/>
          <w:lang w:val="it-IT"/>
        </w:rPr>
      </w:pPr>
      <w:proofErr w:type="spellStart"/>
      <w:r w:rsidRPr="00A06CC6">
        <w:rPr>
          <w:rFonts w:cstheme="minorHAnsi"/>
          <w:i/>
          <w:iCs/>
          <w:sz w:val="20"/>
          <w:szCs w:val="20"/>
          <w:lang w:val="it-IT"/>
        </w:rPr>
        <w:t>Članak</w:t>
      </w:r>
      <w:proofErr w:type="spellEnd"/>
      <w:r w:rsidRPr="00A06CC6">
        <w:rPr>
          <w:rFonts w:cstheme="minorHAnsi"/>
          <w:i/>
          <w:iCs/>
          <w:sz w:val="20"/>
          <w:szCs w:val="20"/>
          <w:lang w:val="it-IT"/>
        </w:rPr>
        <w:t xml:space="preserve"> 4.</w:t>
      </w:r>
    </w:p>
    <w:p w14:paraId="2B52F471" w14:textId="77777777" w:rsidR="00A06CC6" w:rsidRPr="00A06CC6" w:rsidRDefault="00A06CC6" w:rsidP="00A06CC6">
      <w:pPr>
        <w:spacing w:line="240" w:lineRule="auto"/>
        <w:jc w:val="both"/>
        <w:rPr>
          <w:rFonts w:cstheme="minorHAnsi"/>
          <w:i/>
          <w:iCs/>
          <w:sz w:val="20"/>
          <w:szCs w:val="20"/>
          <w:lang w:val="it-IT"/>
        </w:rPr>
      </w:pPr>
    </w:p>
    <w:p w14:paraId="28786E17" w14:textId="77777777" w:rsidR="00A06CC6" w:rsidRPr="00A06CC6" w:rsidRDefault="00A06CC6" w:rsidP="00A06CC6">
      <w:pPr>
        <w:spacing w:line="240" w:lineRule="auto"/>
        <w:jc w:val="both"/>
        <w:rPr>
          <w:rFonts w:cstheme="minorHAnsi"/>
          <w:i/>
          <w:iCs/>
          <w:sz w:val="20"/>
          <w:szCs w:val="20"/>
          <w:lang w:val="it-IT"/>
        </w:rPr>
      </w:pPr>
      <w:proofErr w:type="spellStart"/>
      <w:r w:rsidRPr="00A06CC6">
        <w:rPr>
          <w:rFonts w:cstheme="minorHAnsi"/>
          <w:i/>
          <w:iCs/>
          <w:sz w:val="20"/>
          <w:szCs w:val="20"/>
          <w:lang w:val="it-IT"/>
        </w:rPr>
        <w:t>Ovaj</w:t>
      </w:r>
      <w:proofErr w:type="spellEnd"/>
      <w:r w:rsidRPr="00A06CC6">
        <w:rPr>
          <w:rFonts w:cstheme="minorHAnsi"/>
          <w:i/>
          <w:i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i/>
          <w:iCs/>
          <w:sz w:val="20"/>
          <w:szCs w:val="20"/>
          <w:lang w:val="it-IT"/>
        </w:rPr>
        <w:t>Zakon</w:t>
      </w:r>
      <w:proofErr w:type="spellEnd"/>
      <w:r w:rsidRPr="00A06CC6">
        <w:rPr>
          <w:rFonts w:cstheme="minorHAnsi"/>
          <w:i/>
          <w:i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i/>
          <w:iCs/>
          <w:sz w:val="20"/>
          <w:szCs w:val="20"/>
          <w:lang w:val="it-IT"/>
        </w:rPr>
        <w:t>stupa</w:t>
      </w:r>
      <w:proofErr w:type="spellEnd"/>
      <w:r w:rsidRPr="00A06CC6">
        <w:rPr>
          <w:rFonts w:cstheme="minorHAnsi"/>
          <w:i/>
          <w:i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i/>
          <w:iCs/>
          <w:sz w:val="20"/>
          <w:szCs w:val="20"/>
          <w:lang w:val="it-IT"/>
        </w:rPr>
        <w:t>na</w:t>
      </w:r>
      <w:proofErr w:type="spellEnd"/>
      <w:r w:rsidRPr="00A06CC6">
        <w:rPr>
          <w:rFonts w:cstheme="minorHAnsi"/>
          <w:i/>
          <w:i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i/>
          <w:iCs/>
          <w:sz w:val="20"/>
          <w:szCs w:val="20"/>
          <w:lang w:val="it-IT"/>
        </w:rPr>
        <w:t>snagu</w:t>
      </w:r>
      <w:proofErr w:type="spellEnd"/>
      <w:r w:rsidRPr="00A06CC6">
        <w:rPr>
          <w:rFonts w:cstheme="minorHAnsi"/>
          <w:i/>
          <w:i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i/>
          <w:iCs/>
          <w:sz w:val="20"/>
          <w:szCs w:val="20"/>
          <w:lang w:val="it-IT"/>
        </w:rPr>
        <w:t>osmoga</w:t>
      </w:r>
      <w:proofErr w:type="spellEnd"/>
      <w:r w:rsidRPr="00A06CC6">
        <w:rPr>
          <w:rFonts w:cstheme="minorHAnsi"/>
          <w:i/>
          <w:i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i/>
          <w:iCs/>
          <w:sz w:val="20"/>
          <w:szCs w:val="20"/>
          <w:lang w:val="it-IT"/>
        </w:rPr>
        <w:t>dana</w:t>
      </w:r>
      <w:proofErr w:type="spellEnd"/>
      <w:r w:rsidRPr="00A06CC6">
        <w:rPr>
          <w:rFonts w:cstheme="minorHAnsi"/>
          <w:i/>
          <w:iCs/>
          <w:sz w:val="20"/>
          <w:szCs w:val="20"/>
          <w:lang w:val="it-IT"/>
        </w:rPr>
        <w:t xml:space="preserve"> od </w:t>
      </w:r>
      <w:proofErr w:type="spellStart"/>
      <w:r w:rsidRPr="00A06CC6">
        <w:rPr>
          <w:rFonts w:cstheme="minorHAnsi"/>
          <w:i/>
          <w:iCs/>
          <w:sz w:val="20"/>
          <w:szCs w:val="20"/>
          <w:lang w:val="it-IT"/>
        </w:rPr>
        <w:t>dana</w:t>
      </w:r>
      <w:proofErr w:type="spellEnd"/>
      <w:r w:rsidRPr="00A06CC6">
        <w:rPr>
          <w:rFonts w:cstheme="minorHAnsi"/>
          <w:i/>
          <w:i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i/>
          <w:iCs/>
          <w:sz w:val="20"/>
          <w:szCs w:val="20"/>
          <w:lang w:val="it-IT"/>
        </w:rPr>
        <w:t>objave</w:t>
      </w:r>
      <w:proofErr w:type="spellEnd"/>
      <w:r w:rsidRPr="00A06CC6">
        <w:rPr>
          <w:rFonts w:cstheme="minorHAnsi"/>
          <w:i/>
          <w:iCs/>
          <w:sz w:val="20"/>
          <w:szCs w:val="20"/>
          <w:lang w:val="it-IT"/>
        </w:rPr>
        <w:t xml:space="preserve"> </w:t>
      </w:r>
      <w:proofErr w:type="gramStart"/>
      <w:r w:rsidRPr="00A06CC6">
        <w:rPr>
          <w:rFonts w:cstheme="minorHAnsi"/>
          <w:i/>
          <w:iCs/>
          <w:sz w:val="20"/>
          <w:szCs w:val="20"/>
          <w:lang w:val="it-IT"/>
        </w:rPr>
        <w:t>u »</w:t>
      </w:r>
      <w:proofErr w:type="spellStart"/>
      <w:r w:rsidRPr="00A06CC6">
        <w:rPr>
          <w:rFonts w:cstheme="minorHAnsi"/>
          <w:i/>
          <w:iCs/>
          <w:sz w:val="20"/>
          <w:szCs w:val="20"/>
          <w:lang w:val="it-IT"/>
        </w:rPr>
        <w:t>Narodnim</w:t>
      </w:r>
      <w:proofErr w:type="spellEnd"/>
      <w:proofErr w:type="gramEnd"/>
      <w:r w:rsidRPr="00A06CC6">
        <w:rPr>
          <w:rFonts w:cstheme="minorHAnsi"/>
          <w:i/>
          <w:i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i/>
          <w:iCs/>
          <w:sz w:val="20"/>
          <w:szCs w:val="20"/>
          <w:lang w:val="it-IT"/>
        </w:rPr>
        <w:t>novinama</w:t>
      </w:r>
      <w:proofErr w:type="spellEnd"/>
      <w:r w:rsidRPr="00A06CC6">
        <w:rPr>
          <w:rFonts w:cstheme="minorHAnsi"/>
          <w:i/>
          <w:iCs/>
          <w:sz w:val="20"/>
          <w:szCs w:val="20"/>
          <w:lang w:val="it-IT"/>
        </w:rPr>
        <w:t>«.</w:t>
      </w:r>
    </w:p>
    <w:p w14:paraId="2F24366F" w14:textId="77777777" w:rsidR="00A06CC6" w:rsidRPr="00A06CC6" w:rsidRDefault="00A06CC6" w:rsidP="00A06CC6">
      <w:pPr>
        <w:spacing w:line="240" w:lineRule="auto"/>
        <w:jc w:val="both"/>
        <w:rPr>
          <w:rFonts w:cstheme="minorHAnsi"/>
          <w:i/>
          <w:iCs/>
          <w:sz w:val="20"/>
          <w:szCs w:val="20"/>
          <w:lang w:val="it-IT"/>
        </w:rPr>
      </w:pPr>
    </w:p>
    <w:p w14:paraId="1B48FE25" w14:textId="77777777" w:rsidR="00A06CC6" w:rsidRPr="00A06CC6" w:rsidRDefault="00A06CC6" w:rsidP="00A06CC6">
      <w:pPr>
        <w:spacing w:line="240" w:lineRule="auto"/>
        <w:jc w:val="both"/>
        <w:rPr>
          <w:rFonts w:cstheme="minorHAnsi"/>
          <w:i/>
          <w:iCs/>
          <w:sz w:val="20"/>
          <w:szCs w:val="20"/>
          <w:lang w:val="it-IT"/>
        </w:rPr>
      </w:pPr>
      <w:proofErr w:type="spellStart"/>
      <w:r w:rsidRPr="00A06CC6">
        <w:rPr>
          <w:rFonts w:cstheme="minorHAnsi"/>
          <w:i/>
          <w:iCs/>
          <w:sz w:val="20"/>
          <w:szCs w:val="20"/>
          <w:lang w:val="it-IT"/>
        </w:rPr>
        <w:t>Klasa</w:t>
      </w:r>
      <w:proofErr w:type="spellEnd"/>
      <w:r w:rsidRPr="00A06CC6">
        <w:rPr>
          <w:rFonts w:cstheme="minorHAnsi"/>
          <w:i/>
          <w:iCs/>
          <w:sz w:val="20"/>
          <w:szCs w:val="20"/>
          <w:lang w:val="it-IT"/>
        </w:rPr>
        <w:t>: 022-03/20-01/162</w:t>
      </w:r>
    </w:p>
    <w:p w14:paraId="5A4A7F4C" w14:textId="77777777" w:rsidR="00A06CC6" w:rsidRPr="00A06CC6" w:rsidRDefault="00A06CC6" w:rsidP="00A06CC6">
      <w:pPr>
        <w:spacing w:line="240" w:lineRule="auto"/>
        <w:jc w:val="both"/>
        <w:rPr>
          <w:rFonts w:cstheme="minorHAnsi"/>
          <w:i/>
          <w:iCs/>
          <w:sz w:val="20"/>
          <w:szCs w:val="20"/>
          <w:lang w:val="it-IT"/>
        </w:rPr>
      </w:pPr>
    </w:p>
    <w:p w14:paraId="770266BD" w14:textId="77777777" w:rsidR="00A06CC6" w:rsidRPr="00A06CC6" w:rsidRDefault="00A06CC6" w:rsidP="00A06CC6">
      <w:pPr>
        <w:spacing w:line="240" w:lineRule="auto"/>
        <w:jc w:val="both"/>
        <w:rPr>
          <w:rFonts w:cstheme="minorHAnsi"/>
          <w:i/>
          <w:iCs/>
          <w:sz w:val="20"/>
          <w:szCs w:val="20"/>
          <w:lang w:val="it-IT"/>
        </w:rPr>
      </w:pPr>
      <w:r w:rsidRPr="00A06CC6">
        <w:rPr>
          <w:rFonts w:cstheme="minorHAnsi"/>
          <w:i/>
          <w:iCs/>
          <w:sz w:val="20"/>
          <w:szCs w:val="20"/>
          <w:lang w:val="it-IT"/>
        </w:rPr>
        <w:t xml:space="preserve">Zagreb, 26. </w:t>
      </w:r>
      <w:proofErr w:type="spellStart"/>
      <w:r w:rsidRPr="00A06CC6">
        <w:rPr>
          <w:rFonts w:cstheme="minorHAnsi"/>
          <w:i/>
          <w:iCs/>
          <w:sz w:val="20"/>
          <w:szCs w:val="20"/>
          <w:lang w:val="it-IT"/>
        </w:rPr>
        <w:t>ožujka</w:t>
      </w:r>
      <w:proofErr w:type="spellEnd"/>
      <w:r w:rsidRPr="00A06CC6">
        <w:rPr>
          <w:rFonts w:cstheme="minorHAnsi"/>
          <w:i/>
          <w:iCs/>
          <w:sz w:val="20"/>
          <w:szCs w:val="20"/>
          <w:lang w:val="it-IT"/>
        </w:rPr>
        <w:t xml:space="preserve"> 2021.</w:t>
      </w:r>
    </w:p>
    <w:p w14:paraId="322C6296" w14:textId="77777777" w:rsidR="00A06CC6" w:rsidRPr="00A06CC6" w:rsidRDefault="00A06CC6" w:rsidP="00A06CC6">
      <w:pPr>
        <w:spacing w:line="240" w:lineRule="auto"/>
        <w:jc w:val="both"/>
        <w:rPr>
          <w:rFonts w:cstheme="minorHAnsi"/>
          <w:i/>
          <w:iCs/>
          <w:sz w:val="20"/>
          <w:szCs w:val="20"/>
          <w:lang w:val="it-IT"/>
        </w:rPr>
      </w:pPr>
    </w:p>
    <w:p w14:paraId="6BCEED21" w14:textId="77777777" w:rsidR="00A06CC6" w:rsidRPr="00A06CC6" w:rsidRDefault="00A06CC6" w:rsidP="00A06CC6">
      <w:pPr>
        <w:spacing w:line="240" w:lineRule="auto"/>
        <w:jc w:val="both"/>
        <w:rPr>
          <w:rFonts w:cstheme="minorHAnsi"/>
          <w:i/>
          <w:iCs/>
          <w:sz w:val="20"/>
          <w:szCs w:val="20"/>
          <w:lang w:val="it-IT"/>
        </w:rPr>
      </w:pPr>
      <w:r w:rsidRPr="00A06CC6">
        <w:rPr>
          <w:rFonts w:cstheme="minorHAnsi"/>
          <w:i/>
          <w:iCs/>
          <w:sz w:val="20"/>
          <w:szCs w:val="20"/>
          <w:lang w:val="it-IT"/>
        </w:rPr>
        <w:t>HRVATSKI SABOR</w:t>
      </w:r>
    </w:p>
    <w:p w14:paraId="7C6C069E" w14:textId="77777777" w:rsidR="00A06CC6" w:rsidRPr="00A06CC6" w:rsidRDefault="00A06CC6" w:rsidP="00A06CC6">
      <w:pPr>
        <w:spacing w:line="240" w:lineRule="auto"/>
        <w:jc w:val="both"/>
        <w:rPr>
          <w:rFonts w:cstheme="minorHAnsi"/>
          <w:i/>
          <w:iCs/>
          <w:sz w:val="20"/>
          <w:szCs w:val="20"/>
          <w:lang w:val="it-IT"/>
        </w:rPr>
      </w:pPr>
    </w:p>
    <w:p w14:paraId="5746D083" w14:textId="77777777" w:rsidR="00A06CC6" w:rsidRPr="00A06CC6" w:rsidRDefault="00A06CC6" w:rsidP="00A06CC6">
      <w:pPr>
        <w:spacing w:line="240" w:lineRule="auto"/>
        <w:jc w:val="both"/>
        <w:rPr>
          <w:rFonts w:cstheme="minorHAnsi"/>
          <w:i/>
          <w:iCs/>
          <w:sz w:val="20"/>
          <w:szCs w:val="20"/>
          <w:lang w:val="it-IT"/>
        </w:rPr>
      </w:pPr>
      <w:proofErr w:type="spellStart"/>
      <w:r w:rsidRPr="00A06CC6">
        <w:rPr>
          <w:rFonts w:cstheme="minorHAnsi"/>
          <w:i/>
          <w:iCs/>
          <w:sz w:val="20"/>
          <w:szCs w:val="20"/>
          <w:lang w:val="it-IT"/>
        </w:rPr>
        <w:t>Predsjednik</w:t>
      </w:r>
      <w:proofErr w:type="spellEnd"/>
    </w:p>
    <w:p w14:paraId="52BA07D5" w14:textId="77777777" w:rsidR="00A06CC6" w:rsidRPr="00A06CC6" w:rsidRDefault="00A06CC6" w:rsidP="00A06CC6">
      <w:pPr>
        <w:spacing w:line="240" w:lineRule="auto"/>
        <w:jc w:val="both"/>
        <w:rPr>
          <w:rFonts w:cstheme="minorHAnsi"/>
          <w:i/>
          <w:iCs/>
          <w:sz w:val="20"/>
          <w:szCs w:val="20"/>
          <w:lang w:val="it-IT"/>
        </w:rPr>
      </w:pPr>
      <w:r w:rsidRPr="00A06CC6">
        <w:rPr>
          <w:rFonts w:cstheme="minorHAnsi"/>
          <w:i/>
          <w:i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i/>
          <w:iCs/>
          <w:sz w:val="20"/>
          <w:szCs w:val="20"/>
          <w:lang w:val="it-IT"/>
        </w:rPr>
        <w:t>Hrvatskoga</w:t>
      </w:r>
      <w:proofErr w:type="spellEnd"/>
      <w:r w:rsidRPr="00A06CC6">
        <w:rPr>
          <w:rFonts w:cstheme="minorHAnsi"/>
          <w:i/>
          <w:iCs/>
          <w:sz w:val="20"/>
          <w:szCs w:val="20"/>
          <w:lang w:val="it-IT"/>
        </w:rPr>
        <w:t xml:space="preserve"> </w:t>
      </w:r>
      <w:proofErr w:type="spellStart"/>
      <w:r w:rsidRPr="00A06CC6">
        <w:rPr>
          <w:rFonts w:cstheme="minorHAnsi"/>
          <w:i/>
          <w:iCs/>
          <w:sz w:val="20"/>
          <w:szCs w:val="20"/>
          <w:lang w:val="it-IT"/>
        </w:rPr>
        <w:t>sabora</w:t>
      </w:r>
      <w:proofErr w:type="spellEnd"/>
    </w:p>
    <w:p w14:paraId="4B44CEDB" w14:textId="45CB52D7" w:rsidR="00A06CC6" w:rsidRPr="00A06CC6" w:rsidRDefault="00A06CC6" w:rsidP="00A06CC6">
      <w:pPr>
        <w:spacing w:line="240" w:lineRule="auto"/>
        <w:jc w:val="both"/>
        <w:rPr>
          <w:rFonts w:cstheme="minorHAnsi"/>
          <w:i/>
          <w:iCs/>
          <w:sz w:val="20"/>
          <w:szCs w:val="20"/>
          <w:lang w:val="it-IT"/>
        </w:rPr>
      </w:pPr>
      <w:r w:rsidRPr="00A06CC6">
        <w:rPr>
          <w:rFonts w:cstheme="minorHAnsi"/>
          <w:i/>
          <w:iCs/>
          <w:sz w:val="20"/>
          <w:szCs w:val="20"/>
          <w:lang w:val="it-IT"/>
        </w:rPr>
        <w:t xml:space="preserve">Gordan </w:t>
      </w:r>
      <w:proofErr w:type="spellStart"/>
      <w:r w:rsidRPr="00A06CC6">
        <w:rPr>
          <w:rFonts w:cstheme="minorHAnsi"/>
          <w:i/>
          <w:iCs/>
          <w:sz w:val="20"/>
          <w:szCs w:val="20"/>
          <w:lang w:val="it-IT"/>
        </w:rPr>
        <w:t>Jandroković</w:t>
      </w:r>
      <w:proofErr w:type="spellEnd"/>
      <w:r w:rsidRPr="00A06CC6">
        <w:rPr>
          <w:rFonts w:cstheme="minorHAnsi"/>
          <w:i/>
          <w:iCs/>
          <w:sz w:val="20"/>
          <w:szCs w:val="20"/>
          <w:lang w:val="it-IT"/>
        </w:rPr>
        <w:t>, v. r.</w:t>
      </w:r>
    </w:p>
    <w:sectPr w:rsidR="00A06CC6" w:rsidRPr="00A06CC6" w:rsidSect="008845AB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AB"/>
    <w:rsid w:val="000F7E45"/>
    <w:rsid w:val="00361C0A"/>
    <w:rsid w:val="0083778A"/>
    <w:rsid w:val="008845AB"/>
    <w:rsid w:val="009D1536"/>
    <w:rsid w:val="00A06CC6"/>
    <w:rsid w:val="00C50DB8"/>
    <w:rsid w:val="00CC7380"/>
    <w:rsid w:val="00E8022F"/>
    <w:rsid w:val="00F14698"/>
    <w:rsid w:val="00F4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D626E"/>
  <w15:chartTrackingRefBased/>
  <w15:docId w15:val="{89E6F5E6-B714-4F93-BA69-4F169397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6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1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598274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754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63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56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79BE0-BD53-4860-91D0-DCF45225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4184</Words>
  <Characters>23854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Vukorepa</dc:creator>
  <cp:keywords/>
  <dc:description/>
  <cp:lastModifiedBy> Ivana Vukorepa</cp:lastModifiedBy>
  <cp:revision>9</cp:revision>
  <dcterms:created xsi:type="dcterms:W3CDTF">2021-04-07T13:25:00Z</dcterms:created>
  <dcterms:modified xsi:type="dcterms:W3CDTF">2021-04-07T13:40:00Z</dcterms:modified>
</cp:coreProperties>
</file>